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F998B" w14:textId="77777777" w:rsidR="00C80402" w:rsidRPr="00130EFC" w:rsidRDefault="00130EFC" w:rsidP="006B33CB">
      <w:pPr>
        <w:rPr>
          <w:rFonts w:ascii="Garamond" w:hAnsi="Garamond"/>
          <w:b/>
          <w:bCs/>
          <w:sz w:val="28"/>
        </w:rPr>
      </w:pPr>
      <w:r w:rsidRPr="00130EFC">
        <w:rPr>
          <w:rFonts w:ascii="Garamond" w:hAnsi="Garamond"/>
          <w:b/>
          <w:bCs/>
          <w:noProof/>
          <w:sz w:val="28"/>
          <w:lang w:bidi="ar-SA"/>
        </w:rPr>
        <mc:AlternateContent>
          <mc:Choice Requires="wps">
            <w:drawing>
              <wp:anchor distT="0" distB="0" distL="114300" distR="114300" simplePos="0" relativeHeight="251657215" behindDoc="0" locked="0" layoutInCell="1" allowOverlap="1" wp14:anchorId="2D4EBCF1" wp14:editId="40B33E98">
                <wp:simplePos x="0" y="0"/>
                <wp:positionH relativeFrom="margin">
                  <wp:posOffset>-136638</wp:posOffset>
                </wp:positionH>
                <wp:positionV relativeFrom="paragraph">
                  <wp:posOffset>-757966</wp:posOffset>
                </wp:positionV>
                <wp:extent cx="6067313" cy="688303"/>
                <wp:effectExtent l="0" t="0" r="0" b="0"/>
                <wp:wrapNone/>
                <wp:docPr id="7" name="Rectangle 7"/>
                <wp:cNvGraphicFramePr/>
                <a:graphic xmlns:a="http://schemas.openxmlformats.org/drawingml/2006/main">
                  <a:graphicData uri="http://schemas.microsoft.com/office/word/2010/wordprocessingShape">
                    <wps:wsp>
                      <wps:cNvSpPr/>
                      <wps:spPr>
                        <a:xfrm>
                          <a:off x="0" y="0"/>
                          <a:ext cx="6067313" cy="68830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C1DD11" id="Rectangle 7" o:spid="_x0000_s1026" style="position:absolute;margin-left:-10.75pt;margin-top:-59.7pt;width:477.75pt;height:54.2pt;z-index:2516572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" fillcolor="white [3212]" stroked="f" strokeweight="2pt">
                <w10:wrap anchorx="margin"/>
              </v:rect>
            </w:pict>
          </mc:Fallback>
        </mc:AlternateContent>
      </w:r>
      <w:r w:rsidR="00727CDD" w:rsidRPr="00130EFC">
        <w:rPr>
          <w:rFonts w:ascii="Garamond" w:hAnsi="Garamond"/>
          <w:b/>
          <w:bCs/>
          <w:noProof/>
          <w:sz w:val="28"/>
          <w:lang w:bidi="ar-SA"/>
        </w:rPr>
        <w:drawing>
          <wp:anchor distT="0" distB="0" distL="114300" distR="114300" simplePos="0" relativeHeight="251673600" behindDoc="1" locked="0" layoutInCell="1" allowOverlap="1" wp14:anchorId="37752D47" wp14:editId="2556D164">
            <wp:simplePos x="0" y="0"/>
            <wp:positionH relativeFrom="column">
              <wp:posOffset>128270</wp:posOffset>
            </wp:positionH>
            <wp:positionV relativeFrom="paragraph">
              <wp:posOffset>-142257</wp:posOffset>
            </wp:positionV>
            <wp:extent cx="5848350" cy="1200150"/>
            <wp:effectExtent l="0" t="0" r="0" b="0"/>
            <wp:wrapNone/>
            <wp:docPr id="5" name="Picture 5" descr="D:\JURNAL FEF NTB JAKARTA\INDONESIAN JOURNAL OF EDUCATION AND SCIENCE\Picture LOGO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JURNAL FEF NTB JAKARTA\INDONESIAN JOURNAL OF EDUCATION AND SCIENCE\Picture LOGO OK.png"/>
                    <pic:cNvPicPr>
                      <a:picLocks noChangeAspect="1" noChangeArrowheads="1"/>
                    </pic:cNvPicPr>
                  </pic:nvPicPr>
                  <pic:blipFill>
                    <a:blip r:embed="rId8" cstate="print">
                      <a:extLst>
                        <a:ext uri="{BEBA8EAE-BF5A-486C-A8C5-ECC9F3942E4B}">
                          <a14:imgProps xmlns:a14="http://schemas.microsoft.com/office/drawing/2010/main">
                            <a14:imgLayer r:embed="rId9">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848350" cy="12001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4B1215A1" w14:textId="77777777" w:rsidR="00727CDD" w:rsidRPr="00130EFC" w:rsidRDefault="00727CDD" w:rsidP="00764B77">
      <w:pPr>
        <w:spacing w:after="0" w:line="240" w:lineRule="auto"/>
        <w:jc w:val="center"/>
        <w:rPr>
          <w:rFonts w:ascii="Garamond" w:hAnsi="Garamond"/>
          <w:b/>
          <w:bCs/>
          <w:sz w:val="28"/>
        </w:rPr>
      </w:pPr>
    </w:p>
    <w:p w14:paraId="0FD49ACE" w14:textId="77777777" w:rsidR="00727CDD" w:rsidRPr="00130EFC" w:rsidRDefault="00727CDD" w:rsidP="00764B77">
      <w:pPr>
        <w:spacing w:after="0" w:line="240" w:lineRule="auto"/>
        <w:jc w:val="center"/>
        <w:rPr>
          <w:rFonts w:ascii="Garamond" w:hAnsi="Garamond"/>
          <w:b/>
          <w:bCs/>
          <w:sz w:val="28"/>
        </w:rPr>
      </w:pPr>
    </w:p>
    <w:p w14:paraId="6A439817" w14:textId="77777777" w:rsidR="00727CDD" w:rsidRPr="00130EFC" w:rsidRDefault="00727CDD" w:rsidP="00764B77">
      <w:pPr>
        <w:spacing w:after="0" w:line="240" w:lineRule="auto"/>
        <w:jc w:val="center"/>
        <w:rPr>
          <w:rFonts w:ascii="Garamond" w:hAnsi="Garamond"/>
          <w:b/>
          <w:bCs/>
          <w:sz w:val="28"/>
        </w:rPr>
      </w:pPr>
    </w:p>
    <w:p w14:paraId="3E2EA098" w14:textId="77777777" w:rsidR="00727CDD" w:rsidRPr="00130EFC" w:rsidRDefault="00727CDD" w:rsidP="00727CDD">
      <w:pPr>
        <w:spacing w:after="0" w:line="240" w:lineRule="auto"/>
        <w:rPr>
          <w:rFonts w:ascii="Garamond" w:hAnsi="Garamond"/>
          <w:b/>
          <w:bCs/>
          <w:sz w:val="28"/>
        </w:rPr>
      </w:pPr>
    </w:p>
    <w:p w14:paraId="58B9DCEA" w14:textId="3EBE4D65" w:rsidR="003925F2" w:rsidRDefault="001C1B50" w:rsidP="00644CB8">
      <w:pPr>
        <w:spacing w:after="0" w:line="240" w:lineRule="auto"/>
        <w:jc w:val="center"/>
        <w:rPr>
          <w:rFonts w:ascii="Garamond" w:hAnsi="Garamond"/>
          <w:b/>
          <w:bCs/>
          <w:sz w:val="32"/>
          <w:szCs w:val="32"/>
        </w:rPr>
      </w:pPr>
      <w:r w:rsidRPr="001C1B50">
        <w:rPr>
          <w:rFonts w:ascii="Garamond" w:hAnsi="Garamond"/>
          <w:b/>
          <w:bCs/>
          <w:sz w:val="32"/>
          <w:szCs w:val="32"/>
        </w:rPr>
        <w:t>The Dynamics of Islamic Ethical Thought from Classical Scholars to Contemporary Muslim Thinkers and Its Implications for Islamic Religious Education</w:t>
      </w:r>
    </w:p>
    <w:p w14:paraId="25ABE7F8" w14:textId="77777777" w:rsidR="001C1B50" w:rsidRPr="00130EFC" w:rsidRDefault="001C1B50" w:rsidP="00644CB8">
      <w:pPr>
        <w:spacing w:after="0" w:line="240" w:lineRule="auto"/>
        <w:jc w:val="center"/>
        <w:rPr>
          <w:rFonts w:ascii="Garamond" w:hAnsi="Garamond"/>
          <w:b/>
          <w:bCs/>
          <w:sz w:val="28"/>
        </w:rPr>
      </w:pPr>
    </w:p>
    <w:p w14:paraId="138D9D6E" w14:textId="19A7DBE1" w:rsidR="00644CB8" w:rsidRDefault="00DA3E9D" w:rsidP="0027783C">
      <w:pPr>
        <w:spacing w:after="0"/>
        <w:jc w:val="center"/>
        <w:rPr>
          <w:rFonts w:ascii="Garamond" w:hAnsi="Garamond"/>
          <w:b/>
          <w:sz w:val="24"/>
          <w:szCs w:val="24"/>
          <w:vertAlign w:val="superscript"/>
        </w:rPr>
      </w:pPr>
      <w:r w:rsidRPr="00DA3E9D">
        <w:rPr>
          <w:rFonts w:ascii="Garamond" w:hAnsi="Garamond"/>
          <w:b/>
          <w:sz w:val="24"/>
          <w:szCs w:val="24"/>
        </w:rPr>
        <w:t xml:space="preserve">Muhammad </w:t>
      </w:r>
      <w:proofErr w:type="spellStart"/>
      <w:r w:rsidRPr="00DA3E9D">
        <w:rPr>
          <w:rFonts w:ascii="Garamond" w:hAnsi="Garamond"/>
          <w:b/>
          <w:sz w:val="24"/>
          <w:szCs w:val="24"/>
        </w:rPr>
        <w:t>Zainul</w:t>
      </w:r>
      <w:proofErr w:type="spellEnd"/>
      <w:r w:rsidRPr="00DA3E9D">
        <w:rPr>
          <w:rFonts w:ascii="Garamond" w:hAnsi="Garamond"/>
          <w:b/>
          <w:sz w:val="24"/>
          <w:szCs w:val="24"/>
        </w:rPr>
        <w:t xml:space="preserve"> Ansori</w:t>
      </w:r>
      <w:r w:rsidRPr="00DA3E9D">
        <w:rPr>
          <w:rFonts w:ascii="Garamond" w:hAnsi="Garamond"/>
          <w:b/>
          <w:sz w:val="24"/>
          <w:szCs w:val="24"/>
          <w:vertAlign w:val="superscript"/>
        </w:rPr>
        <w:t>1</w:t>
      </w:r>
      <w:r>
        <w:rPr>
          <w:rFonts w:ascii="Garamond" w:hAnsi="Garamond"/>
          <w:b/>
          <w:sz w:val="24"/>
          <w:szCs w:val="24"/>
        </w:rPr>
        <w:t>, Sapril</w:t>
      </w:r>
      <w:r w:rsidRPr="00DA3E9D">
        <w:rPr>
          <w:rFonts w:ascii="Garamond" w:hAnsi="Garamond"/>
          <w:b/>
          <w:sz w:val="24"/>
          <w:szCs w:val="24"/>
          <w:vertAlign w:val="superscript"/>
        </w:rPr>
        <w:t>2</w:t>
      </w:r>
    </w:p>
    <w:p w14:paraId="3ADD325E" w14:textId="77777777" w:rsidR="0027783C" w:rsidRPr="0027783C" w:rsidRDefault="0027783C" w:rsidP="0027783C">
      <w:pPr>
        <w:spacing w:after="0"/>
        <w:jc w:val="center"/>
        <w:rPr>
          <w:rFonts w:ascii="Garamond" w:hAnsi="Garamond"/>
          <w:b/>
          <w:sz w:val="24"/>
          <w:szCs w:val="24"/>
        </w:rPr>
      </w:pPr>
    </w:p>
    <w:p w14:paraId="52E21CD5" w14:textId="2936E9A4" w:rsidR="00644CB8" w:rsidRPr="007D34B5" w:rsidRDefault="0027783C" w:rsidP="0027783C">
      <w:pPr>
        <w:spacing w:after="0"/>
        <w:jc w:val="center"/>
        <w:rPr>
          <w:rFonts w:ascii="Garamond" w:hAnsi="Garamond" w:cs="Times New Roman"/>
          <w:bCs/>
          <w:szCs w:val="22"/>
        </w:rPr>
      </w:pPr>
      <w:r w:rsidRPr="007D34B5">
        <w:rPr>
          <w:rFonts w:ascii="Garamond" w:hAnsi="Garamond"/>
          <w:bCs/>
          <w:szCs w:val="22"/>
          <w:vertAlign w:val="superscript"/>
        </w:rPr>
        <w:t>1,</w:t>
      </w:r>
      <w:r w:rsidR="00DA3E9D">
        <w:rPr>
          <w:rFonts w:ascii="Garamond" w:hAnsi="Garamond"/>
          <w:bCs/>
          <w:szCs w:val="22"/>
          <w:vertAlign w:val="superscript"/>
        </w:rPr>
        <w:t>2</w:t>
      </w:r>
      <w:r w:rsidRPr="007D34B5">
        <w:rPr>
          <w:rFonts w:ascii="Garamond" w:hAnsi="Garamond"/>
          <w:bCs/>
          <w:szCs w:val="22"/>
          <w:vertAlign w:val="superscript"/>
        </w:rPr>
        <w:t xml:space="preserve"> </w:t>
      </w:r>
      <w:proofErr w:type="spellStart"/>
      <w:r w:rsidR="00094CA5" w:rsidRPr="00094CA5">
        <w:rPr>
          <w:rFonts w:ascii="Garamond" w:hAnsi="Garamond"/>
          <w:bCs/>
          <w:szCs w:val="22"/>
        </w:rPr>
        <w:t>Institut</w:t>
      </w:r>
      <w:proofErr w:type="spellEnd"/>
      <w:r w:rsidR="00094CA5" w:rsidRPr="00094CA5">
        <w:rPr>
          <w:rFonts w:ascii="Garamond" w:hAnsi="Garamond"/>
          <w:bCs/>
          <w:szCs w:val="22"/>
        </w:rPr>
        <w:t xml:space="preserve"> Palapa Nusantara Lombok, NTB, Indonesia</w:t>
      </w:r>
    </w:p>
    <w:p w14:paraId="47790BAB" w14:textId="3F8386BD" w:rsidR="007A1E08" w:rsidRPr="007D34B5" w:rsidRDefault="00644CB8" w:rsidP="0027783C">
      <w:pPr>
        <w:spacing w:after="0"/>
        <w:jc w:val="center"/>
        <w:rPr>
          <w:rFonts w:ascii="Garamond" w:hAnsi="Garamond"/>
          <w:szCs w:val="22"/>
        </w:rPr>
      </w:pPr>
      <w:r w:rsidRPr="00745287">
        <w:rPr>
          <w:rFonts w:ascii="Garamond" w:hAnsi="Garamond" w:cs="Times New Roman"/>
          <w:sz w:val="24"/>
          <w:szCs w:val="24"/>
        </w:rPr>
        <w:t>Email:</w:t>
      </w:r>
      <w:r w:rsidRPr="0027783C">
        <w:rPr>
          <w:rFonts w:ascii="Garamond" w:hAnsi="Garamond" w:cs="Times New Roman"/>
          <w:sz w:val="24"/>
          <w:szCs w:val="24"/>
        </w:rPr>
        <w:t xml:space="preserve"> </w:t>
      </w:r>
      <w:r w:rsidR="0027783C" w:rsidRPr="0027783C">
        <w:rPr>
          <w:rFonts w:ascii="Garamond" w:hAnsi="Garamond"/>
          <w:sz w:val="24"/>
          <w:szCs w:val="24"/>
        </w:rPr>
        <w:t xml:space="preserve"> </w:t>
      </w:r>
      <w:hyperlink r:id="rId10" w:history="1">
        <w:r w:rsidR="00275FE9" w:rsidRPr="00275FE9">
          <w:rPr>
            <w:rStyle w:val="Hyperlink"/>
            <w:rFonts w:ascii="Garamond" w:hAnsi="Garamond"/>
            <w:sz w:val="24"/>
            <w:szCs w:val="24"/>
            <w:u w:val="none"/>
          </w:rPr>
          <w:t>muhammadzainulansori@stitpn.ac.id</w:t>
        </w:r>
        <w:r w:rsidR="001B7BD4" w:rsidRPr="001B7BD4">
          <w:rPr>
            <w:rStyle w:val="Hyperlink"/>
            <w:rFonts w:ascii="Garamond" w:hAnsi="Garamond"/>
            <w:sz w:val="24"/>
            <w:szCs w:val="24"/>
            <w:u w:val="none"/>
            <w:vertAlign w:val="superscript"/>
          </w:rPr>
          <w:t>1</w:t>
        </w:r>
      </w:hyperlink>
      <w:r w:rsidR="001B7BD4" w:rsidRPr="001B7BD4">
        <w:rPr>
          <w:rFonts w:ascii="Garamond" w:hAnsi="Garamond"/>
          <w:sz w:val="24"/>
          <w:szCs w:val="24"/>
        </w:rPr>
        <w:t xml:space="preserve">; </w:t>
      </w:r>
      <w:hyperlink r:id="rId11" w:history="1">
        <w:r w:rsidR="001B7BD4" w:rsidRPr="001B7BD4">
          <w:rPr>
            <w:rStyle w:val="Hyperlink"/>
            <w:rFonts w:ascii="Garamond" w:hAnsi="Garamond"/>
            <w:sz w:val="24"/>
            <w:szCs w:val="24"/>
            <w:u w:val="none"/>
          </w:rPr>
          <w:t>ssaperilganteng@gmail.com</w:t>
        </w:r>
        <w:r w:rsidR="001B7BD4" w:rsidRPr="001B7BD4">
          <w:rPr>
            <w:rStyle w:val="Hyperlink"/>
            <w:rFonts w:ascii="Garamond" w:hAnsi="Garamond"/>
            <w:sz w:val="24"/>
            <w:szCs w:val="24"/>
            <w:u w:val="none"/>
            <w:vertAlign w:val="superscript"/>
          </w:rPr>
          <w:t>2</w:t>
        </w:r>
      </w:hyperlink>
      <w:r w:rsidR="001B7BD4">
        <w:rPr>
          <w:rFonts w:ascii="Garamond" w:hAnsi="Garamond"/>
          <w:sz w:val="24"/>
          <w:szCs w:val="24"/>
        </w:rPr>
        <w:t xml:space="preserve"> </w:t>
      </w:r>
    </w:p>
    <w:p w14:paraId="09C1755E" w14:textId="77777777" w:rsidR="007A1E08" w:rsidRPr="00130EFC" w:rsidRDefault="007A1E08" w:rsidP="007A1E08">
      <w:pPr>
        <w:spacing w:after="0"/>
        <w:jc w:val="center"/>
      </w:pPr>
    </w:p>
    <w:p w14:paraId="5DC04D3F" w14:textId="77777777" w:rsidR="00644CB8" w:rsidRPr="00130EFC" w:rsidRDefault="00644CB8" w:rsidP="007A1E08">
      <w:pPr>
        <w:spacing w:after="0"/>
        <w:jc w:val="center"/>
        <w:rPr>
          <w:rFonts w:ascii="Garamond" w:hAnsi="Garamond"/>
          <w:b/>
          <w:bCs/>
        </w:rPr>
      </w:pPr>
      <w:r w:rsidRPr="00130EFC">
        <w:rPr>
          <w:rFonts w:ascii="Garamond" w:hAnsi="Garamond"/>
        </w:rPr>
        <w:t xml:space="preserve"> </w:t>
      </w:r>
      <w:r w:rsidRPr="00130EFC">
        <w:rPr>
          <w:rFonts w:ascii="Garamond" w:hAnsi="Garamond"/>
          <w:b/>
          <w:bCs/>
          <w:noProof/>
          <w:sz w:val="16"/>
          <w:szCs w:val="16"/>
          <w:lang w:bidi="ar-SA"/>
        </w:rPr>
        <mc:AlternateContent>
          <mc:Choice Requires="wps">
            <w:drawing>
              <wp:anchor distT="0" distB="0" distL="114300" distR="114300" simplePos="0" relativeHeight="251675648" behindDoc="0" locked="0" layoutInCell="1" allowOverlap="1" wp14:anchorId="0EAB9F94" wp14:editId="6915B7B8">
                <wp:simplePos x="0" y="0"/>
                <wp:positionH relativeFrom="column">
                  <wp:posOffset>23495</wp:posOffset>
                </wp:positionH>
                <wp:positionV relativeFrom="paragraph">
                  <wp:posOffset>27084</wp:posOffset>
                </wp:positionV>
                <wp:extent cx="5833745" cy="9525"/>
                <wp:effectExtent l="38100" t="38100" r="52705" b="85725"/>
                <wp:wrapNone/>
                <wp:docPr id="3" name="Straight Connector 3"/>
                <wp:cNvGraphicFramePr/>
                <a:graphic xmlns:a="http://schemas.openxmlformats.org/drawingml/2006/main">
                  <a:graphicData uri="http://schemas.microsoft.com/office/word/2010/wordprocessingShape">
                    <wps:wsp>
                      <wps:cNvCnPr/>
                      <wps:spPr>
                        <a:xfrm flipV="1">
                          <a:off x="0" y="0"/>
                          <a:ext cx="583374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C768B7A" id="Straight Connector 3" o:spid="_x0000_s1026" style="position:absolute;flip:y;z-index:251675648;visibility:visible;mso-wrap-style:square;mso-wrap-distance-left:9pt;mso-wrap-distance-top:0;mso-wrap-distance-right:9pt;mso-wrap-distance-bottom:0;mso-position-horizontal:absolute;mso-position-horizontal-relative:text;mso-position-vertical:absolute;mso-position-vertical-relative:text" from="1.85pt,2.15pt" to="461.2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" strokecolor="black [3200]" strokeweight="2pt">
                <v:shadow on="t" color="black" opacity="24903f" origin=",.5" offset="0,.55556mm"/>
              </v:line>
            </w:pict>
          </mc:Fallback>
        </mc:AlternateContent>
      </w:r>
    </w:p>
    <w:tbl>
      <w:tblPr>
        <w:tblW w:w="9322" w:type="dxa"/>
        <w:tblLook w:val="04A0" w:firstRow="1" w:lastRow="0" w:firstColumn="1" w:lastColumn="0" w:noHBand="0" w:noVBand="1"/>
      </w:tblPr>
      <w:tblGrid>
        <w:gridCol w:w="6345"/>
        <w:gridCol w:w="2977"/>
      </w:tblGrid>
      <w:tr w:rsidR="00130EFC" w:rsidRPr="00130EFC" w14:paraId="0E6EBA57" w14:textId="77777777" w:rsidTr="00BF4EF0">
        <w:tc>
          <w:tcPr>
            <w:tcW w:w="6345" w:type="dxa"/>
          </w:tcPr>
          <w:p w14:paraId="35604945" w14:textId="77777777" w:rsidR="00644CB8" w:rsidRPr="00130EFC" w:rsidRDefault="00644CB8" w:rsidP="00130EFC">
            <w:pPr>
              <w:pStyle w:val="NoSpacing"/>
              <w:jc w:val="center"/>
              <w:rPr>
                <w:rFonts w:ascii="Garamond" w:hAnsi="Garamond"/>
                <w:b/>
                <w:bCs/>
              </w:rPr>
            </w:pPr>
            <w:r w:rsidRPr="00130EFC">
              <w:rPr>
                <w:rFonts w:ascii="Garamond" w:hAnsi="Garamond"/>
                <w:b/>
                <w:bCs/>
                <w:noProof/>
                <w:lang w:bidi="ar-SA"/>
              </w:rPr>
              <mc:AlternateContent>
                <mc:Choice Requires="wps">
                  <w:drawing>
                    <wp:anchor distT="0" distB="0" distL="114300" distR="114300" simplePos="0" relativeHeight="251676672" behindDoc="0" locked="0" layoutInCell="1" allowOverlap="1" wp14:anchorId="01360E93" wp14:editId="11D9D321">
                      <wp:simplePos x="0" y="0"/>
                      <wp:positionH relativeFrom="column">
                        <wp:posOffset>29119</wp:posOffset>
                      </wp:positionH>
                      <wp:positionV relativeFrom="paragraph">
                        <wp:posOffset>166370</wp:posOffset>
                      </wp:positionV>
                      <wp:extent cx="3816350" cy="0"/>
                      <wp:effectExtent l="0" t="0" r="12700" b="19050"/>
                      <wp:wrapNone/>
                      <wp:docPr id="4" name="Straight Connector 4"/>
                      <wp:cNvGraphicFramePr/>
                      <a:graphic xmlns:a="http://schemas.openxmlformats.org/drawingml/2006/main">
                        <a:graphicData uri="http://schemas.microsoft.com/office/word/2010/wordprocessingShape">
                          <wps:wsp>
                            <wps:cNvCnPr/>
                            <wps:spPr>
                              <a:xfrm>
                                <a:off x="0" y="0"/>
                                <a:ext cx="3816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6A2C55" id="Straight Connector 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pt,13.1pt" to="302.8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" strokecolor="black [3040]"/>
                  </w:pict>
                </mc:Fallback>
              </mc:AlternateContent>
            </w:r>
            <w:r w:rsidRPr="00130EFC">
              <w:rPr>
                <w:rFonts w:ascii="Garamond" w:hAnsi="Garamond"/>
                <w:b/>
                <w:bCs/>
              </w:rPr>
              <w:t>ABSTRACT</w:t>
            </w:r>
          </w:p>
          <w:p w14:paraId="49E7BEAC" w14:textId="77777777" w:rsidR="00644CB8" w:rsidRPr="00130EFC" w:rsidRDefault="00644CB8" w:rsidP="00130EFC">
            <w:pPr>
              <w:pStyle w:val="NoSpacing"/>
              <w:rPr>
                <w:rFonts w:ascii="Garamond" w:hAnsi="Garamond"/>
              </w:rPr>
            </w:pPr>
          </w:p>
          <w:p w14:paraId="5A8AA7D2" w14:textId="2D8825F2" w:rsidR="00644CB8" w:rsidRPr="00130EFC" w:rsidRDefault="009C60A8" w:rsidP="00137472">
            <w:pPr>
              <w:pStyle w:val="NoSpacing"/>
              <w:ind w:firstLine="567"/>
              <w:jc w:val="both"/>
              <w:rPr>
                <w:rFonts w:ascii="Garamond" w:hAnsi="Garamond"/>
              </w:rPr>
            </w:pPr>
            <w:r w:rsidRPr="009C60A8">
              <w:rPr>
                <w:rFonts w:ascii="Garamond" w:hAnsi="Garamond"/>
              </w:rPr>
              <w:t>Islamic ethical thought (</w:t>
            </w:r>
            <w:proofErr w:type="spellStart"/>
            <w:r w:rsidRPr="009C60A8">
              <w:rPr>
                <w:rFonts w:ascii="Garamond" w:hAnsi="Garamond"/>
              </w:rPr>
              <w:t>akhlāq</w:t>
            </w:r>
            <w:proofErr w:type="spellEnd"/>
            <w:r w:rsidRPr="009C60A8">
              <w:rPr>
                <w:rFonts w:ascii="Garamond" w:hAnsi="Garamond"/>
              </w:rPr>
              <w:t>) provides essential foundations for moral development, yet its relationship with contemporary Islamic Religious Education (IRE) requires an integrated understanding of classical principles and current educational challenges. This study aimed to examine the historical development of Islamic ethical thought from classical scholars to contemporary Muslim thinkers, identify continuities and differences in their perspectives, and analyze their implications for IRE. A qualitative library-based research design was employed through a structured review of relevant scholarly literature and documentary analysis. The collected literature was examined using qualitative content analysis and comparative thematic synthesis to identify recurring ethical concepts, approaches to moral formation, educational objectives, and contemporary applications. The findings reveal three interconnected dimensions of Islamic ethical thought: normative ethical foundations, processes of moral cultivation, and contextual adaptation. Classical perspectives emphasize the complementary roles of rational reflection, spiritual purification, virtue, and habituation, while contemporary scholarship extends these principles to character education, digital ethics, religious moderation, and collaboration among families, schools, and communities. Despite differences in emphasis, both classical and contemporary approaches underscore the importance of integrating ethical understanding with consistent conduct and social responsibility. Based on this synthesis, the study proposes an integrative conceptual framework connecting ethical foundations, educational objectives and curriculum, pedagogical practices, collaborative learning environments, and intended moral outcomes. The study concludes that IRE can benefit from combining moral reasoning, spiritual development, exemplary conduct, habituation, and reflective learning. However, the proposed framework requires empirical examination to establish its applicability and educational effectiveness across diverse contexts.</w:t>
            </w:r>
          </w:p>
        </w:tc>
        <w:tc>
          <w:tcPr>
            <w:tcW w:w="2977" w:type="dxa"/>
          </w:tcPr>
          <w:p w14:paraId="14550D3E" w14:textId="77777777" w:rsidR="00644CB8" w:rsidRPr="00130EFC" w:rsidRDefault="00644CB8" w:rsidP="00130EFC">
            <w:pPr>
              <w:pStyle w:val="NoSpacing"/>
              <w:rPr>
                <w:rFonts w:ascii="Garamond" w:hAnsi="Garamond"/>
                <w:b/>
                <w:bCs/>
              </w:rPr>
            </w:pPr>
            <w:r w:rsidRPr="00130EFC">
              <w:rPr>
                <w:rFonts w:ascii="Garamond" w:hAnsi="Garamond"/>
                <w:b/>
                <w:bCs/>
              </w:rPr>
              <w:t>ARTICLE INFO</w:t>
            </w:r>
          </w:p>
          <w:p w14:paraId="1DE9B0DC" w14:textId="77777777" w:rsidR="00644CB8" w:rsidRPr="00130EFC" w:rsidRDefault="00644CB8" w:rsidP="00130EFC">
            <w:pPr>
              <w:pStyle w:val="NoSpacing"/>
              <w:rPr>
                <w:rFonts w:ascii="Garamond" w:hAnsi="Garamond"/>
              </w:rPr>
            </w:pPr>
            <w:r w:rsidRPr="00130EFC">
              <w:rPr>
                <w:rFonts w:ascii="Garamond" w:hAnsi="Garamond"/>
                <w:noProof/>
                <w:lang w:bidi="ar-SA"/>
              </w:rPr>
              <mc:AlternateContent>
                <mc:Choice Requires="wps">
                  <w:drawing>
                    <wp:anchor distT="0" distB="0" distL="114300" distR="114300" simplePos="0" relativeHeight="251677696" behindDoc="0" locked="0" layoutInCell="1" allowOverlap="1" wp14:anchorId="6C855587" wp14:editId="522F1EC1">
                      <wp:simplePos x="0" y="0"/>
                      <wp:positionH relativeFrom="column">
                        <wp:posOffset>1724</wp:posOffset>
                      </wp:positionH>
                      <wp:positionV relativeFrom="paragraph">
                        <wp:posOffset>1724</wp:posOffset>
                      </wp:positionV>
                      <wp:extent cx="1827802" cy="0"/>
                      <wp:effectExtent l="0" t="0" r="20320" b="19050"/>
                      <wp:wrapNone/>
                      <wp:docPr id="1" name="Straight Connector 1"/>
                      <wp:cNvGraphicFramePr/>
                      <a:graphic xmlns:a="http://schemas.openxmlformats.org/drawingml/2006/main">
                        <a:graphicData uri="http://schemas.microsoft.com/office/word/2010/wordprocessingShape">
                          <wps:wsp>
                            <wps:cNvCnPr/>
                            <wps:spPr>
                              <a:xfrm>
                                <a:off x="0" y="0"/>
                                <a:ext cx="182780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63B797E" id="Straight Connector 1" o:spid="_x0000_s1026"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5pt" to="144.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" strokecolor="black [3040]"/>
                  </w:pict>
                </mc:Fallback>
              </mc:AlternateContent>
            </w:r>
          </w:p>
          <w:p w14:paraId="29329747" w14:textId="77777777" w:rsidR="00644CB8" w:rsidRPr="00130EFC" w:rsidRDefault="00644CB8" w:rsidP="00130EFC">
            <w:pPr>
              <w:pStyle w:val="NoSpacing"/>
              <w:rPr>
                <w:rFonts w:ascii="Garamond" w:hAnsi="Garamond"/>
                <w:b/>
                <w:bCs/>
                <w:i/>
                <w:iCs/>
              </w:rPr>
            </w:pPr>
            <w:r w:rsidRPr="00130EFC">
              <w:rPr>
                <w:rFonts w:ascii="Garamond" w:hAnsi="Garamond"/>
                <w:b/>
                <w:bCs/>
                <w:i/>
                <w:iCs/>
              </w:rPr>
              <w:t>Article history:</w:t>
            </w:r>
          </w:p>
          <w:p w14:paraId="148272A9" w14:textId="22847EF6" w:rsidR="00803D34" w:rsidRPr="00803D34" w:rsidRDefault="00803D34" w:rsidP="00803D34">
            <w:pPr>
              <w:pStyle w:val="NoSpacing"/>
              <w:rPr>
                <w:rFonts w:ascii="Garamond" w:hAnsi="Garamond"/>
                <w:i/>
                <w:iCs/>
              </w:rPr>
            </w:pPr>
            <w:r w:rsidRPr="00803D34">
              <w:rPr>
                <w:rFonts w:ascii="Garamond" w:hAnsi="Garamond"/>
                <w:i/>
                <w:iCs/>
              </w:rPr>
              <w:t>Received:  October 2</w:t>
            </w:r>
            <w:r>
              <w:rPr>
                <w:rFonts w:ascii="Garamond" w:hAnsi="Garamond"/>
                <w:i/>
                <w:iCs/>
              </w:rPr>
              <w:t>6</w:t>
            </w:r>
            <w:r w:rsidRPr="00803D34">
              <w:rPr>
                <w:rFonts w:ascii="Garamond" w:hAnsi="Garamond"/>
                <w:i/>
                <w:iCs/>
              </w:rPr>
              <w:t>, 2026</w:t>
            </w:r>
          </w:p>
          <w:p w14:paraId="6B7567BA" w14:textId="49A8F3F2" w:rsidR="00803D34" w:rsidRPr="00803D34" w:rsidRDefault="00803D34" w:rsidP="00803D34">
            <w:pPr>
              <w:pStyle w:val="NoSpacing"/>
              <w:rPr>
                <w:rFonts w:ascii="Garamond" w:hAnsi="Garamond"/>
                <w:i/>
                <w:iCs/>
              </w:rPr>
            </w:pPr>
            <w:r w:rsidRPr="00803D34">
              <w:rPr>
                <w:rFonts w:ascii="Garamond" w:hAnsi="Garamond"/>
                <w:i/>
                <w:iCs/>
              </w:rPr>
              <w:t>Revised:   October 2</w:t>
            </w:r>
            <w:r>
              <w:rPr>
                <w:rFonts w:ascii="Garamond" w:hAnsi="Garamond"/>
                <w:i/>
                <w:iCs/>
              </w:rPr>
              <w:t>9</w:t>
            </w:r>
            <w:r w:rsidRPr="00803D34">
              <w:rPr>
                <w:rFonts w:ascii="Garamond" w:hAnsi="Garamond"/>
                <w:i/>
                <w:iCs/>
              </w:rPr>
              <w:t>, 2026</w:t>
            </w:r>
          </w:p>
          <w:p w14:paraId="12193C77" w14:textId="77777777" w:rsidR="00803D34" w:rsidRPr="00803D34" w:rsidRDefault="00803D34" w:rsidP="00803D34">
            <w:pPr>
              <w:pStyle w:val="NoSpacing"/>
              <w:rPr>
                <w:rFonts w:ascii="Garamond" w:hAnsi="Garamond"/>
                <w:i/>
                <w:iCs/>
              </w:rPr>
            </w:pPr>
            <w:r w:rsidRPr="00803D34">
              <w:rPr>
                <w:rFonts w:ascii="Garamond" w:hAnsi="Garamond"/>
                <w:i/>
                <w:iCs/>
              </w:rPr>
              <w:t>Accepted:  October 30, 2026</w:t>
            </w:r>
          </w:p>
          <w:p w14:paraId="66588AE3" w14:textId="77777777" w:rsidR="00803D34" w:rsidRDefault="00803D34" w:rsidP="00803D34">
            <w:pPr>
              <w:pStyle w:val="NoSpacing"/>
              <w:rPr>
                <w:rFonts w:ascii="Garamond" w:hAnsi="Garamond"/>
                <w:i/>
                <w:iCs/>
              </w:rPr>
            </w:pPr>
            <w:r w:rsidRPr="00803D34">
              <w:rPr>
                <w:rFonts w:ascii="Garamond" w:hAnsi="Garamond"/>
                <w:i/>
                <w:iCs/>
              </w:rPr>
              <w:t>Published: October 31, 2026</w:t>
            </w:r>
          </w:p>
          <w:p w14:paraId="22B05A95" w14:textId="19156F39" w:rsidR="00644CB8" w:rsidRPr="00130EFC" w:rsidRDefault="00644CB8" w:rsidP="00803D34">
            <w:pPr>
              <w:pStyle w:val="NoSpacing"/>
              <w:rPr>
                <w:rFonts w:ascii="Garamond" w:hAnsi="Garamond"/>
                <w:i/>
                <w:iCs/>
              </w:rPr>
            </w:pPr>
            <w:r w:rsidRPr="00130EFC">
              <w:rPr>
                <w:rFonts w:ascii="Garamond" w:hAnsi="Garamond"/>
                <w:noProof/>
                <w:lang w:bidi="ar-SA"/>
              </w:rPr>
              <mc:AlternateContent>
                <mc:Choice Requires="wps">
                  <w:drawing>
                    <wp:anchor distT="0" distB="0" distL="114300" distR="114300" simplePos="0" relativeHeight="251678720" behindDoc="0" locked="0" layoutInCell="1" allowOverlap="1" wp14:anchorId="74BBBA56" wp14:editId="60E8687B">
                      <wp:simplePos x="0" y="0"/>
                      <wp:positionH relativeFrom="column">
                        <wp:posOffset>1270</wp:posOffset>
                      </wp:positionH>
                      <wp:positionV relativeFrom="paragraph">
                        <wp:posOffset>79466</wp:posOffset>
                      </wp:positionV>
                      <wp:extent cx="1827530" cy="0"/>
                      <wp:effectExtent l="0" t="0" r="20320" b="19050"/>
                      <wp:wrapNone/>
                      <wp:docPr id="10" name="Straight Connector 10"/>
                      <wp:cNvGraphicFramePr/>
                      <a:graphic xmlns:a="http://schemas.openxmlformats.org/drawingml/2006/main">
                        <a:graphicData uri="http://schemas.microsoft.com/office/word/2010/wordprocessingShape">
                          <wps:wsp>
                            <wps:cNvCnPr/>
                            <wps:spPr>
                              <a:xfrm>
                                <a:off x="0" y="0"/>
                                <a:ext cx="18275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594FE7" id="Straight Connector 10"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25pt" to="2in,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" strokecolor="black [3040]"/>
                  </w:pict>
                </mc:Fallback>
              </mc:AlternateContent>
            </w:r>
          </w:p>
          <w:p w14:paraId="628FCCB6" w14:textId="77777777" w:rsidR="00644CB8" w:rsidRPr="00130EFC" w:rsidRDefault="00644CB8" w:rsidP="00130EFC">
            <w:pPr>
              <w:pStyle w:val="NoSpacing"/>
              <w:rPr>
                <w:rFonts w:ascii="Garamond" w:hAnsi="Garamond"/>
                <w:b/>
                <w:bCs/>
                <w:i/>
                <w:iCs/>
              </w:rPr>
            </w:pPr>
            <w:r w:rsidRPr="00130EFC">
              <w:rPr>
                <w:rFonts w:ascii="Garamond" w:hAnsi="Garamond"/>
                <w:b/>
                <w:bCs/>
                <w:i/>
                <w:iCs/>
              </w:rPr>
              <w:t>Keywords:</w:t>
            </w:r>
          </w:p>
          <w:p w14:paraId="3D4EA9F1" w14:textId="7BE1F054" w:rsidR="009C60A8" w:rsidRDefault="009C60A8" w:rsidP="00130EFC">
            <w:pPr>
              <w:pStyle w:val="NoSpacing"/>
              <w:rPr>
                <w:rFonts w:ascii="Garamond" w:hAnsi="Garamond"/>
                <w:i/>
                <w:iCs/>
              </w:rPr>
            </w:pPr>
            <w:r w:rsidRPr="009C60A8">
              <w:rPr>
                <w:rFonts w:ascii="Garamond" w:hAnsi="Garamond"/>
                <w:i/>
                <w:iCs/>
              </w:rPr>
              <w:t xml:space="preserve">Islamic </w:t>
            </w:r>
            <w:r w:rsidR="00FB5B91" w:rsidRPr="009C60A8">
              <w:rPr>
                <w:rFonts w:ascii="Garamond" w:hAnsi="Garamond"/>
                <w:i/>
                <w:iCs/>
              </w:rPr>
              <w:t xml:space="preserve">Ethical Thought; </w:t>
            </w:r>
            <w:proofErr w:type="spellStart"/>
            <w:r w:rsidR="00FB5B91" w:rsidRPr="009C60A8">
              <w:rPr>
                <w:rFonts w:ascii="Garamond" w:hAnsi="Garamond"/>
                <w:i/>
                <w:iCs/>
              </w:rPr>
              <w:t>Akhlāq</w:t>
            </w:r>
            <w:proofErr w:type="spellEnd"/>
            <w:r w:rsidR="00FB5B91" w:rsidRPr="009C60A8">
              <w:rPr>
                <w:rFonts w:ascii="Garamond" w:hAnsi="Garamond"/>
                <w:i/>
                <w:iCs/>
              </w:rPr>
              <w:t xml:space="preserve">; </w:t>
            </w:r>
            <w:r w:rsidRPr="009C60A8">
              <w:rPr>
                <w:rFonts w:ascii="Garamond" w:hAnsi="Garamond"/>
                <w:i/>
                <w:iCs/>
              </w:rPr>
              <w:t>Islamic Religious Education</w:t>
            </w:r>
            <w:r w:rsidR="00FB5B91" w:rsidRPr="009C60A8">
              <w:rPr>
                <w:rFonts w:ascii="Garamond" w:hAnsi="Garamond"/>
                <w:i/>
                <w:iCs/>
              </w:rPr>
              <w:t>; Moral Formation; Character Education</w:t>
            </w:r>
          </w:p>
          <w:p w14:paraId="41AD4001" w14:textId="07861134" w:rsidR="00644CB8" w:rsidRPr="00130EFC" w:rsidRDefault="00644CB8" w:rsidP="00130EFC">
            <w:pPr>
              <w:pStyle w:val="NoSpacing"/>
              <w:rPr>
                <w:rFonts w:ascii="Garamond" w:hAnsi="Garamond"/>
                <w:b/>
                <w:bCs/>
                <w:i/>
                <w:iCs/>
              </w:rPr>
            </w:pPr>
            <w:proofErr w:type="spellStart"/>
            <w:r w:rsidRPr="00130EFC">
              <w:rPr>
                <w:rFonts w:ascii="Garamond" w:hAnsi="Garamond"/>
                <w:b/>
                <w:bCs/>
                <w:i/>
                <w:iCs/>
              </w:rPr>
              <w:t>Correspondance</w:t>
            </w:r>
            <w:proofErr w:type="spellEnd"/>
            <w:r w:rsidRPr="00130EFC">
              <w:rPr>
                <w:rFonts w:ascii="Garamond" w:hAnsi="Garamond"/>
                <w:b/>
                <w:bCs/>
                <w:i/>
                <w:iCs/>
              </w:rPr>
              <w:t xml:space="preserve"> Author:</w:t>
            </w:r>
          </w:p>
          <w:p w14:paraId="7635282B" w14:textId="77777777" w:rsidR="00DA3E9D" w:rsidRDefault="00DA3E9D" w:rsidP="00130EFC">
            <w:pPr>
              <w:pStyle w:val="NoSpacing"/>
              <w:jc w:val="both"/>
              <w:rPr>
                <w:rFonts w:ascii="Garamond" w:hAnsi="Garamond" w:cstheme="majorBidi"/>
              </w:rPr>
            </w:pPr>
            <w:r w:rsidRPr="00DA3E9D">
              <w:rPr>
                <w:rFonts w:ascii="Garamond" w:hAnsi="Garamond" w:cstheme="majorBidi"/>
              </w:rPr>
              <w:t xml:space="preserve">Muhammad </w:t>
            </w:r>
            <w:proofErr w:type="spellStart"/>
            <w:r w:rsidRPr="00DA3E9D">
              <w:rPr>
                <w:rFonts w:ascii="Garamond" w:hAnsi="Garamond" w:cstheme="majorBidi"/>
              </w:rPr>
              <w:t>Zainul</w:t>
            </w:r>
            <w:proofErr w:type="spellEnd"/>
            <w:r w:rsidRPr="00DA3E9D">
              <w:rPr>
                <w:rFonts w:ascii="Garamond" w:hAnsi="Garamond" w:cstheme="majorBidi"/>
              </w:rPr>
              <w:t xml:space="preserve"> </w:t>
            </w:r>
            <w:proofErr w:type="spellStart"/>
            <w:r w:rsidRPr="00DA3E9D">
              <w:rPr>
                <w:rFonts w:ascii="Garamond" w:hAnsi="Garamond" w:cstheme="majorBidi"/>
              </w:rPr>
              <w:t>Ansori</w:t>
            </w:r>
            <w:proofErr w:type="spellEnd"/>
          </w:p>
          <w:p w14:paraId="13C1D756" w14:textId="456CB3A9" w:rsidR="00644CB8" w:rsidRPr="00130EFC" w:rsidRDefault="00DA3E9D" w:rsidP="00130EFC">
            <w:pPr>
              <w:pStyle w:val="NoSpacing"/>
              <w:jc w:val="both"/>
              <w:rPr>
                <w:rFonts w:ascii="Garamond" w:hAnsi="Garamond"/>
              </w:rPr>
            </w:pPr>
            <w:r w:rsidRPr="00DA3E9D">
              <w:rPr>
                <w:rFonts w:ascii="Garamond" w:hAnsi="Garamond" w:cstheme="majorBidi"/>
              </w:rPr>
              <w:t xml:space="preserve">Dept. of Islamic Education </w:t>
            </w:r>
            <w:proofErr w:type="spellStart"/>
            <w:r w:rsidR="00DE297D" w:rsidRPr="00DE297D">
              <w:rPr>
                <w:rFonts w:ascii="Garamond" w:hAnsi="Garamond"/>
              </w:rPr>
              <w:t>Institut</w:t>
            </w:r>
            <w:proofErr w:type="spellEnd"/>
            <w:r w:rsidR="00DE297D" w:rsidRPr="00DE297D">
              <w:rPr>
                <w:rFonts w:ascii="Garamond" w:hAnsi="Garamond"/>
              </w:rPr>
              <w:t xml:space="preserve"> Palapa Nusantara Lombok, NTB, Indonesia</w:t>
            </w:r>
            <w:r w:rsidR="000423D3" w:rsidRPr="000423D3">
              <w:rPr>
                <w:rFonts w:ascii="Garamond" w:hAnsi="Garamond"/>
              </w:rPr>
              <w:t>.</w:t>
            </w:r>
            <w:r w:rsidR="00E00853" w:rsidRPr="00E00853">
              <w:rPr>
                <w:rFonts w:ascii="Garamond" w:hAnsi="Garamond"/>
              </w:rPr>
              <w:t xml:space="preserve"> </w:t>
            </w:r>
            <w:proofErr w:type="spellStart"/>
            <w:r w:rsidR="00E00853" w:rsidRPr="00E00853">
              <w:rPr>
                <w:rFonts w:ascii="Garamond" w:hAnsi="Garamond"/>
              </w:rPr>
              <w:t>Jln</w:t>
            </w:r>
            <w:proofErr w:type="spellEnd"/>
            <w:r w:rsidR="00E00853" w:rsidRPr="00E00853">
              <w:rPr>
                <w:rFonts w:ascii="Garamond" w:hAnsi="Garamond"/>
              </w:rPr>
              <w:t xml:space="preserve"> Palapa No. 01 </w:t>
            </w:r>
            <w:proofErr w:type="spellStart"/>
            <w:r w:rsidR="00E00853" w:rsidRPr="00E00853">
              <w:rPr>
                <w:rFonts w:ascii="Garamond" w:hAnsi="Garamond"/>
              </w:rPr>
              <w:t>Selebung</w:t>
            </w:r>
            <w:proofErr w:type="spellEnd"/>
            <w:r w:rsidR="00E00853" w:rsidRPr="00E00853">
              <w:rPr>
                <w:rFonts w:ascii="Garamond" w:hAnsi="Garamond"/>
              </w:rPr>
              <w:t xml:space="preserve"> </w:t>
            </w:r>
            <w:proofErr w:type="spellStart"/>
            <w:r w:rsidR="00E00853" w:rsidRPr="00E00853">
              <w:rPr>
                <w:rFonts w:ascii="Garamond" w:hAnsi="Garamond"/>
              </w:rPr>
              <w:t>Keruak</w:t>
            </w:r>
            <w:proofErr w:type="spellEnd"/>
            <w:r w:rsidR="00E00853" w:rsidRPr="00E00853">
              <w:rPr>
                <w:rFonts w:ascii="Garamond" w:hAnsi="Garamond"/>
              </w:rPr>
              <w:t>, Lombok Timur, NTB, Indonesia</w:t>
            </w:r>
            <w:r w:rsidR="00EE592B" w:rsidRPr="00130EFC">
              <w:rPr>
                <w:rFonts w:ascii="Garamond" w:hAnsi="Garamond"/>
              </w:rPr>
              <w:t>.</w:t>
            </w:r>
          </w:p>
        </w:tc>
      </w:tr>
      <w:tr w:rsidR="00130EFC" w:rsidRPr="00130EFC" w14:paraId="1DDC7FC5" w14:textId="77777777" w:rsidTr="00BF4EF0">
        <w:tc>
          <w:tcPr>
            <w:tcW w:w="9322" w:type="dxa"/>
            <w:gridSpan w:val="2"/>
          </w:tcPr>
          <w:p w14:paraId="48EF42A5" w14:textId="77777777" w:rsidR="00644CB8" w:rsidRPr="00130EFC" w:rsidRDefault="00644CB8" w:rsidP="00130EFC">
            <w:pPr>
              <w:pStyle w:val="NoSpacing"/>
              <w:rPr>
                <w:rFonts w:ascii="Garamond" w:hAnsi="Garamond"/>
                <w:sz w:val="24"/>
                <w:szCs w:val="24"/>
              </w:rPr>
            </w:pPr>
          </w:p>
        </w:tc>
      </w:tr>
    </w:tbl>
    <w:p w14:paraId="37A643AA" w14:textId="77777777" w:rsidR="00DA3E9D" w:rsidRDefault="00DA3E9D" w:rsidP="00691DF9">
      <w:pPr>
        <w:pStyle w:val="NoSpacing"/>
        <w:spacing w:line="276" w:lineRule="auto"/>
        <w:jc w:val="both"/>
        <w:rPr>
          <w:rFonts w:ascii="Garamond" w:hAnsi="Garamond"/>
          <w:b/>
          <w:bCs/>
          <w:sz w:val="24"/>
          <w:szCs w:val="24"/>
        </w:rPr>
      </w:pPr>
    </w:p>
    <w:p w14:paraId="1269EF0A" w14:textId="77777777" w:rsidR="00DA3E9D" w:rsidRDefault="00DA3E9D" w:rsidP="00691DF9">
      <w:pPr>
        <w:pStyle w:val="NoSpacing"/>
        <w:spacing w:line="276" w:lineRule="auto"/>
        <w:jc w:val="both"/>
        <w:rPr>
          <w:rFonts w:ascii="Garamond" w:hAnsi="Garamond"/>
          <w:b/>
          <w:bCs/>
          <w:sz w:val="24"/>
          <w:szCs w:val="24"/>
        </w:rPr>
      </w:pPr>
    </w:p>
    <w:p w14:paraId="5F53BF5E" w14:textId="007E9014" w:rsidR="001C1B50" w:rsidRPr="00691DF9" w:rsidRDefault="00691DF9" w:rsidP="00691DF9">
      <w:pPr>
        <w:pStyle w:val="NoSpacing"/>
        <w:spacing w:line="276" w:lineRule="auto"/>
        <w:jc w:val="both"/>
        <w:rPr>
          <w:rFonts w:ascii="Garamond" w:hAnsi="Garamond"/>
          <w:b/>
          <w:bCs/>
          <w:sz w:val="24"/>
          <w:szCs w:val="24"/>
        </w:rPr>
      </w:pPr>
      <w:r w:rsidRPr="00691DF9">
        <w:rPr>
          <w:rFonts w:ascii="Garamond" w:hAnsi="Garamond"/>
          <w:b/>
          <w:bCs/>
          <w:sz w:val="24"/>
          <w:szCs w:val="24"/>
        </w:rPr>
        <w:t>INTRODUCTION</w:t>
      </w:r>
    </w:p>
    <w:p w14:paraId="2AE157B6"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Islamic ethical thought (</w:t>
      </w:r>
      <w:proofErr w:type="spellStart"/>
      <w:r w:rsidRPr="00691DF9">
        <w:rPr>
          <w:rFonts w:ascii="Garamond" w:hAnsi="Garamond"/>
          <w:sz w:val="24"/>
          <w:szCs w:val="24"/>
        </w:rPr>
        <w:t>akhlāq</w:t>
      </w:r>
      <w:proofErr w:type="spellEnd"/>
      <w:r w:rsidRPr="00691DF9">
        <w:rPr>
          <w:rFonts w:ascii="Garamond" w:hAnsi="Garamond"/>
          <w:sz w:val="24"/>
          <w:szCs w:val="24"/>
        </w:rPr>
        <w:t xml:space="preserve">) constitutes a fundamental dimension of Islamic teachings because it connects religious belief, moral reasoning, spiritual development, and human conduct. In Islamic education, </w:t>
      </w:r>
      <w:proofErr w:type="spellStart"/>
      <w:r w:rsidRPr="00691DF9">
        <w:rPr>
          <w:rFonts w:ascii="Garamond" w:hAnsi="Garamond"/>
          <w:sz w:val="24"/>
          <w:szCs w:val="24"/>
        </w:rPr>
        <w:t>akhlāq</w:t>
      </w:r>
      <w:proofErr w:type="spellEnd"/>
      <w:r w:rsidRPr="00691DF9">
        <w:rPr>
          <w:rFonts w:ascii="Garamond" w:hAnsi="Garamond"/>
          <w:sz w:val="24"/>
          <w:szCs w:val="24"/>
        </w:rPr>
        <w:t xml:space="preserve"> is not merely a body of normative rules but also a process of cultivating dispositions that guide individuals in their relationships with God, themselves, other people, and society. Classical Muslim scholars developed ethical perspectives that continue to inform contemporary discussions of character formation and educational practice. Al-Ghazali’s approach, for example, emphasizes spiritual purification, moral habituation, and the development of virtuous character, while comparative studies of Ibn </w:t>
      </w:r>
      <w:proofErr w:type="spellStart"/>
      <w:r w:rsidRPr="00691DF9">
        <w:rPr>
          <w:rFonts w:ascii="Garamond" w:hAnsi="Garamond"/>
          <w:sz w:val="24"/>
          <w:szCs w:val="24"/>
        </w:rPr>
        <w:t>Miskawayh</w:t>
      </w:r>
      <w:proofErr w:type="spellEnd"/>
      <w:r w:rsidRPr="00691DF9">
        <w:rPr>
          <w:rFonts w:ascii="Garamond" w:hAnsi="Garamond"/>
          <w:sz w:val="24"/>
          <w:szCs w:val="24"/>
        </w:rPr>
        <w:t xml:space="preserve"> and Al-Ghazali highlight the complementary roles of rational reflection, habituation, and spiritual cultivation in moral education (Faqih &amp; </w:t>
      </w:r>
      <w:proofErr w:type="spellStart"/>
      <w:r w:rsidRPr="00691DF9">
        <w:rPr>
          <w:rFonts w:ascii="Garamond" w:hAnsi="Garamond"/>
          <w:sz w:val="24"/>
          <w:szCs w:val="24"/>
        </w:rPr>
        <w:t>Widiyastuti</w:t>
      </w:r>
      <w:proofErr w:type="spellEnd"/>
      <w:r w:rsidRPr="00691DF9">
        <w:rPr>
          <w:rFonts w:ascii="Garamond" w:hAnsi="Garamond"/>
          <w:sz w:val="24"/>
          <w:szCs w:val="24"/>
        </w:rPr>
        <w:t xml:space="preserve">, 2021; </w:t>
      </w:r>
      <w:proofErr w:type="spellStart"/>
      <w:r w:rsidRPr="00691DF9">
        <w:rPr>
          <w:rFonts w:ascii="Garamond" w:hAnsi="Garamond"/>
          <w:sz w:val="24"/>
          <w:szCs w:val="24"/>
        </w:rPr>
        <w:t>Hermawan</w:t>
      </w:r>
      <w:proofErr w:type="spellEnd"/>
      <w:r w:rsidRPr="00691DF9">
        <w:rPr>
          <w:rFonts w:ascii="Garamond" w:hAnsi="Garamond"/>
          <w:sz w:val="24"/>
          <w:szCs w:val="24"/>
        </w:rPr>
        <w:t xml:space="preserve"> &amp; </w:t>
      </w:r>
      <w:proofErr w:type="spellStart"/>
      <w:r w:rsidRPr="00691DF9">
        <w:rPr>
          <w:rFonts w:ascii="Garamond" w:hAnsi="Garamond"/>
          <w:sz w:val="24"/>
          <w:szCs w:val="24"/>
        </w:rPr>
        <w:t>Sudin</w:t>
      </w:r>
      <w:proofErr w:type="spellEnd"/>
      <w:r w:rsidRPr="00691DF9">
        <w:rPr>
          <w:rFonts w:ascii="Garamond" w:hAnsi="Garamond"/>
          <w:sz w:val="24"/>
          <w:szCs w:val="24"/>
        </w:rPr>
        <w:t>, 2025). These perspectives remain relevant as Islamic Religious Education (IRE) responds to changing social conditions, technological developments, and increasingly complex moral challenges.</w:t>
      </w:r>
    </w:p>
    <w:p w14:paraId="21EE9D70"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Contemporary educational discussions emphasize that character education must extend beyond the transmission of knowledge to the development of ethical responsibility and consistent moral conduct. From an Islamic perspective, this requires integrating religious understanding, moral practice, and character formation into educational experiences (</w:t>
      </w:r>
      <w:proofErr w:type="spellStart"/>
      <w:r w:rsidRPr="00691DF9">
        <w:rPr>
          <w:rFonts w:ascii="Garamond" w:hAnsi="Garamond"/>
          <w:sz w:val="24"/>
          <w:szCs w:val="24"/>
        </w:rPr>
        <w:t>Jailani</w:t>
      </w:r>
      <w:proofErr w:type="spellEnd"/>
      <w:r w:rsidRPr="00691DF9">
        <w:rPr>
          <w:rFonts w:ascii="Garamond" w:hAnsi="Garamond"/>
          <w:sz w:val="24"/>
          <w:szCs w:val="24"/>
        </w:rPr>
        <w:t xml:space="preserve">, 2026; Kurniawan et al., 2022). The relationship between Islamic ethical principles and contemporary moral education has also been explored through comparisons between Al-Ghazali and other ethical traditions, demonstrating the potential for dialogue between spiritual and rational approaches to morality (Wahab, 2025). In addition, comparative discussions of Al-Ghazali and </w:t>
      </w:r>
      <w:proofErr w:type="spellStart"/>
      <w:r w:rsidRPr="00691DF9">
        <w:rPr>
          <w:rFonts w:ascii="Garamond" w:hAnsi="Garamond"/>
          <w:sz w:val="24"/>
          <w:szCs w:val="24"/>
        </w:rPr>
        <w:t>Mu</w:t>
      </w:r>
      <w:r w:rsidRPr="00691DF9">
        <w:rPr>
          <w:rFonts w:ascii="Cambria" w:hAnsi="Cambria" w:cs="Cambria"/>
          <w:sz w:val="24"/>
          <w:szCs w:val="24"/>
        </w:rPr>
        <w:t>ḥ</w:t>
      </w:r>
      <w:r w:rsidRPr="00691DF9">
        <w:rPr>
          <w:rFonts w:ascii="Garamond" w:hAnsi="Garamond"/>
          <w:sz w:val="24"/>
          <w:szCs w:val="24"/>
        </w:rPr>
        <w:t>ammad</w:t>
      </w:r>
      <w:proofErr w:type="spellEnd"/>
      <w:r w:rsidRPr="00691DF9">
        <w:rPr>
          <w:rFonts w:ascii="Garamond" w:hAnsi="Garamond"/>
          <w:sz w:val="24"/>
          <w:szCs w:val="24"/>
        </w:rPr>
        <w:t xml:space="preserve"> </w:t>
      </w:r>
      <w:proofErr w:type="spellStart"/>
      <w:r w:rsidRPr="00691DF9">
        <w:rPr>
          <w:rFonts w:ascii="Garamond" w:hAnsi="Garamond"/>
          <w:sz w:val="24"/>
          <w:szCs w:val="24"/>
        </w:rPr>
        <w:t>Taqī</w:t>
      </w:r>
      <w:proofErr w:type="spellEnd"/>
      <w:r w:rsidRPr="00691DF9">
        <w:rPr>
          <w:rFonts w:ascii="Garamond" w:hAnsi="Garamond"/>
          <w:sz w:val="24"/>
          <w:szCs w:val="24"/>
        </w:rPr>
        <w:t xml:space="preserve"> </w:t>
      </w:r>
      <w:proofErr w:type="spellStart"/>
      <w:r w:rsidRPr="00691DF9">
        <w:rPr>
          <w:rFonts w:ascii="Garamond" w:hAnsi="Garamond"/>
          <w:sz w:val="24"/>
          <w:szCs w:val="24"/>
        </w:rPr>
        <w:t>Mi</w:t>
      </w:r>
      <w:r w:rsidRPr="00691DF9">
        <w:rPr>
          <w:rFonts w:ascii="Cambria" w:hAnsi="Cambria" w:cs="Cambria"/>
          <w:sz w:val="24"/>
          <w:szCs w:val="24"/>
        </w:rPr>
        <w:t>ṣ</w:t>
      </w:r>
      <w:r w:rsidRPr="00691DF9">
        <w:rPr>
          <w:rFonts w:ascii="Garamond" w:hAnsi="Garamond"/>
          <w:sz w:val="24"/>
          <w:szCs w:val="24"/>
        </w:rPr>
        <w:t>bā</w:t>
      </w:r>
      <w:r w:rsidRPr="00691DF9">
        <w:rPr>
          <w:rFonts w:ascii="Cambria" w:hAnsi="Cambria" w:cs="Cambria"/>
          <w:sz w:val="24"/>
          <w:szCs w:val="24"/>
        </w:rPr>
        <w:t>ḥ</w:t>
      </w:r>
      <w:proofErr w:type="spellEnd"/>
      <w:r w:rsidRPr="00691DF9">
        <w:rPr>
          <w:rFonts w:ascii="Garamond" w:hAnsi="Garamond"/>
          <w:sz w:val="24"/>
          <w:szCs w:val="24"/>
        </w:rPr>
        <w:t xml:space="preserve"> </w:t>
      </w:r>
      <w:proofErr w:type="spellStart"/>
      <w:r w:rsidRPr="00691DF9">
        <w:rPr>
          <w:rFonts w:ascii="Garamond" w:hAnsi="Garamond"/>
          <w:sz w:val="24"/>
          <w:szCs w:val="24"/>
        </w:rPr>
        <w:t>Yazdī</w:t>
      </w:r>
      <w:proofErr w:type="spellEnd"/>
      <w:r w:rsidRPr="00691DF9">
        <w:rPr>
          <w:rFonts w:ascii="Garamond" w:hAnsi="Garamond"/>
          <w:sz w:val="24"/>
          <w:szCs w:val="24"/>
        </w:rPr>
        <w:t xml:space="preserve"> emphasize the importance of Qur’anic foundations in explaining moral values and character development (Anwar, 2026). Such discussions suggest that Islamic ethical thought should be examined not only as a historical intellectual tradition but also as a source of concepts that can inform contemporary educational aims and practices.</w:t>
      </w:r>
    </w:p>
    <w:p w14:paraId="5A1A8DA1"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These concerns have become particularly important in the digital era, when learners encounter diverse sources of information, social influences, and behavioral expectations. Islamic character education therefore needs pedagogical approaches that connect religious principles with learners’ contemporary experiences (</w:t>
      </w:r>
      <w:proofErr w:type="spellStart"/>
      <w:r w:rsidRPr="00691DF9">
        <w:rPr>
          <w:rFonts w:ascii="Garamond" w:hAnsi="Garamond"/>
          <w:sz w:val="24"/>
          <w:szCs w:val="24"/>
        </w:rPr>
        <w:t>Murdianto</w:t>
      </w:r>
      <w:proofErr w:type="spellEnd"/>
      <w:r w:rsidRPr="00691DF9">
        <w:rPr>
          <w:rFonts w:ascii="Garamond" w:hAnsi="Garamond"/>
          <w:sz w:val="24"/>
          <w:szCs w:val="24"/>
        </w:rPr>
        <w:t xml:space="preserve"> et al., 2025). Moral education also depends on the presence of credible examples through which learners can observe and practice virtuous conduct, making emulation an important educational consideration (Henderson, 2024). In Indonesian educational contexts, character development has been discussed through the integration of Islamic values into learning activities and school culture (</w:t>
      </w:r>
      <w:proofErr w:type="spellStart"/>
      <w:r w:rsidRPr="00691DF9">
        <w:rPr>
          <w:rFonts w:ascii="Garamond" w:hAnsi="Garamond"/>
          <w:sz w:val="24"/>
          <w:szCs w:val="24"/>
        </w:rPr>
        <w:t>Maslani</w:t>
      </w:r>
      <w:proofErr w:type="spellEnd"/>
      <w:r w:rsidRPr="00691DF9">
        <w:rPr>
          <w:rFonts w:ascii="Garamond" w:hAnsi="Garamond"/>
          <w:sz w:val="24"/>
          <w:szCs w:val="24"/>
        </w:rPr>
        <w:t xml:space="preserve"> et al., 2023). Other studies have emphasized the integration of Islamic Religious Education with mathematics as a means of connecting disciplinary knowledge with character formation (</w:t>
      </w:r>
      <w:proofErr w:type="spellStart"/>
      <w:r w:rsidRPr="00691DF9">
        <w:rPr>
          <w:rFonts w:ascii="Garamond" w:hAnsi="Garamond"/>
          <w:sz w:val="24"/>
          <w:szCs w:val="24"/>
        </w:rPr>
        <w:t>Rusydiyah</w:t>
      </w:r>
      <w:proofErr w:type="spellEnd"/>
      <w:r w:rsidRPr="00691DF9">
        <w:rPr>
          <w:rFonts w:ascii="Garamond" w:hAnsi="Garamond"/>
          <w:sz w:val="24"/>
          <w:szCs w:val="24"/>
        </w:rPr>
        <w:t xml:space="preserve"> et al., 2023). These perspectives indicate that the effectiveness of Islamic ethical education depends not only on the content taught but also on the ways values are modeled, practiced, and reinforced within educational environments.</w:t>
      </w:r>
    </w:p>
    <w:p w14:paraId="47B83F51"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Previous studies provide important foundations for understanding the relationship between Islamic ethical thought and educational practice. </w:t>
      </w:r>
      <w:proofErr w:type="spellStart"/>
      <w:r w:rsidRPr="00691DF9">
        <w:rPr>
          <w:rFonts w:ascii="Garamond" w:hAnsi="Garamond"/>
          <w:sz w:val="24"/>
          <w:szCs w:val="24"/>
        </w:rPr>
        <w:t>Muhsi</w:t>
      </w:r>
      <w:proofErr w:type="spellEnd"/>
      <w:r w:rsidRPr="00691DF9">
        <w:rPr>
          <w:rFonts w:ascii="Garamond" w:hAnsi="Garamond"/>
          <w:sz w:val="24"/>
          <w:szCs w:val="24"/>
        </w:rPr>
        <w:t xml:space="preserve"> and </w:t>
      </w:r>
      <w:proofErr w:type="spellStart"/>
      <w:r w:rsidRPr="00691DF9">
        <w:rPr>
          <w:rFonts w:ascii="Garamond" w:hAnsi="Garamond"/>
          <w:sz w:val="24"/>
          <w:szCs w:val="24"/>
        </w:rPr>
        <w:t>Nadlif</w:t>
      </w:r>
      <w:proofErr w:type="spellEnd"/>
      <w:r w:rsidRPr="00691DF9">
        <w:rPr>
          <w:rFonts w:ascii="Garamond" w:hAnsi="Garamond"/>
          <w:sz w:val="24"/>
          <w:szCs w:val="24"/>
        </w:rPr>
        <w:t xml:space="preserve"> (2021), for example, examined Al-Ghazali’s perspective on moral education and highlighted its relevance to contemporary Islamic education. </w:t>
      </w:r>
      <w:proofErr w:type="spellStart"/>
      <w:r w:rsidRPr="00691DF9">
        <w:rPr>
          <w:rFonts w:ascii="Garamond" w:hAnsi="Garamond"/>
          <w:sz w:val="24"/>
          <w:szCs w:val="24"/>
        </w:rPr>
        <w:t>Mawardi</w:t>
      </w:r>
      <w:proofErr w:type="spellEnd"/>
      <w:r w:rsidRPr="00691DF9">
        <w:rPr>
          <w:rFonts w:ascii="Garamond" w:hAnsi="Garamond"/>
          <w:sz w:val="24"/>
          <w:szCs w:val="24"/>
        </w:rPr>
        <w:t xml:space="preserve"> et al. (2021) identified strategies for strengthening Islamic-value-based character education in online learning, including instructional innovation, role modeling, habituation, reinforcement, and assessment. Similarly, </w:t>
      </w:r>
      <w:proofErr w:type="spellStart"/>
      <w:r w:rsidRPr="00691DF9">
        <w:rPr>
          <w:rFonts w:ascii="Garamond" w:hAnsi="Garamond"/>
          <w:sz w:val="24"/>
          <w:szCs w:val="24"/>
        </w:rPr>
        <w:t>Sudarmi</w:t>
      </w:r>
      <w:proofErr w:type="spellEnd"/>
      <w:r w:rsidRPr="00691DF9">
        <w:rPr>
          <w:rFonts w:ascii="Garamond" w:hAnsi="Garamond"/>
          <w:sz w:val="24"/>
          <w:szCs w:val="24"/>
        </w:rPr>
        <w:t xml:space="preserve"> and Yusuf (2022) explored an </w:t>
      </w:r>
      <w:r w:rsidRPr="00691DF9">
        <w:rPr>
          <w:rFonts w:ascii="Garamond" w:hAnsi="Garamond"/>
          <w:sz w:val="24"/>
          <w:szCs w:val="24"/>
        </w:rPr>
        <w:lastRenderedPageBreak/>
        <w:t xml:space="preserve">Islamic Religious Education learning model based on emotional intelligence to improve students’ morality. </w:t>
      </w:r>
      <w:proofErr w:type="spellStart"/>
      <w:r w:rsidRPr="00691DF9">
        <w:rPr>
          <w:rFonts w:ascii="Garamond" w:hAnsi="Garamond"/>
          <w:sz w:val="24"/>
          <w:szCs w:val="24"/>
        </w:rPr>
        <w:t>Hilmi</w:t>
      </w:r>
      <w:proofErr w:type="spellEnd"/>
      <w:r w:rsidRPr="00691DF9">
        <w:rPr>
          <w:rFonts w:ascii="Garamond" w:hAnsi="Garamond"/>
          <w:sz w:val="24"/>
          <w:szCs w:val="24"/>
        </w:rPr>
        <w:t xml:space="preserve"> et al. (2023) examined Islamic character education in relation to religious moderation, while </w:t>
      </w:r>
      <w:proofErr w:type="spellStart"/>
      <w:r w:rsidRPr="00691DF9">
        <w:rPr>
          <w:rFonts w:ascii="Garamond" w:hAnsi="Garamond"/>
          <w:sz w:val="24"/>
          <w:szCs w:val="24"/>
        </w:rPr>
        <w:t>Sitompul</w:t>
      </w:r>
      <w:proofErr w:type="spellEnd"/>
      <w:r w:rsidRPr="00691DF9">
        <w:rPr>
          <w:rFonts w:ascii="Garamond" w:hAnsi="Garamond"/>
          <w:sz w:val="24"/>
          <w:szCs w:val="24"/>
        </w:rPr>
        <w:t xml:space="preserve"> et al. (2023) discussed the role of Islamic Religious Education teachers in shaping students’ character and morals. Together, these studies demonstrate that ethical principles can be translated into teaching strategies, school practices, and educational relationships. Nevertheless, their principal emphasis is on educational implementation rather than the broader historical and conceptual development of Islamic ethical thought.</w:t>
      </w:r>
    </w:p>
    <w:p w14:paraId="0261DA80"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Other studies have addressed the aims of Islamic education and the comparative ideas of classical scholars. </w:t>
      </w:r>
      <w:proofErr w:type="spellStart"/>
      <w:r w:rsidRPr="00691DF9">
        <w:rPr>
          <w:rFonts w:ascii="Garamond" w:hAnsi="Garamond"/>
          <w:sz w:val="24"/>
          <w:szCs w:val="24"/>
        </w:rPr>
        <w:t>Mukhlis</w:t>
      </w:r>
      <w:proofErr w:type="spellEnd"/>
      <w:r w:rsidRPr="00691DF9">
        <w:rPr>
          <w:rFonts w:ascii="Garamond" w:hAnsi="Garamond"/>
          <w:sz w:val="24"/>
          <w:szCs w:val="24"/>
        </w:rPr>
        <w:t xml:space="preserve"> et al. (2024) discussed the relationship between worldly and hereafter-oriented educational objectives and the formation of morally responsible Muslim individuals. </w:t>
      </w:r>
      <w:proofErr w:type="spellStart"/>
      <w:r w:rsidRPr="00691DF9">
        <w:rPr>
          <w:rFonts w:ascii="Garamond" w:hAnsi="Garamond"/>
          <w:sz w:val="24"/>
          <w:szCs w:val="24"/>
        </w:rPr>
        <w:t>Faizin</w:t>
      </w:r>
      <w:proofErr w:type="spellEnd"/>
      <w:r w:rsidRPr="00691DF9">
        <w:rPr>
          <w:rFonts w:ascii="Garamond" w:hAnsi="Garamond"/>
          <w:sz w:val="24"/>
          <w:szCs w:val="24"/>
        </w:rPr>
        <w:t xml:space="preserve"> (2025) compared Al-Ghazali’s and Ibn </w:t>
      </w:r>
      <w:proofErr w:type="spellStart"/>
      <w:r w:rsidRPr="00691DF9">
        <w:rPr>
          <w:rFonts w:ascii="Garamond" w:hAnsi="Garamond"/>
          <w:sz w:val="24"/>
          <w:szCs w:val="24"/>
        </w:rPr>
        <w:t>Miskawayh’s</w:t>
      </w:r>
      <w:proofErr w:type="spellEnd"/>
      <w:r w:rsidRPr="00691DF9">
        <w:rPr>
          <w:rFonts w:ascii="Garamond" w:hAnsi="Garamond"/>
          <w:sz w:val="24"/>
          <w:szCs w:val="24"/>
        </w:rPr>
        <w:t xml:space="preserve"> approaches to children’s moral education, highlighting habituation and the educator’s role in character formation. </w:t>
      </w:r>
      <w:proofErr w:type="spellStart"/>
      <w:r w:rsidRPr="00691DF9">
        <w:rPr>
          <w:rFonts w:ascii="Garamond" w:hAnsi="Garamond"/>
          <w:sz w:val="24"/>
          <w:szCs w:val="24"/>
        </w:rPr>
        <w:t>Hermawan</w:t>
      </w:r>
      <w:proofErr w:type="spellEnd"/>
      <w:r w:rsidRPr="00691DF9">
        <w:rPr>
          <w:rFonts w:ascii="Garamond" w:hAnsi="Garamond"/>
          <w:sz w:val="24"/>
          <w:szCs w:val="24"/>
        </w:rPr>
        <w:t xml:space="preserve"> and </w:t>
      </w:r>
      <w:proofErr w:type="spellStart"/>
      <w:r w:rsidRPr="00691DF9">
        <w:rPr>
          <w:rFonts w:ascii="Garamond" w:hAnsi="Garamond"/>
          <w:sz w:val="24"/>
          <w:szCs w:val="24"/>
        </w:rPr>
        <w:t>Sudin</w:t>
      </w:r>
      <w:proofErr w:type="spellEnd"/>
      <w:r w:rsidRPr="00691DF9">
        <w:rPr>
          <w:rFonts w:ascii="Garamond" w:hAnsi="Garamond"/>
          <w:sz w:val="24"/>
          <w:szCs w:val="24"/>
        </w:rPr>
        <w:t xml:space="preserve"> (2025) likewise compared their approaches, identifying differences in emphasis between rationality and habituation, on the one hand, and spirituality and purification of the soul, on the other. </w:t>
      </w:r>
      <w:proofErr w:type="spellStart"/>
      <w:r w:rsidRPr="00691DF9">
        <w:rPr>
          <w:rFonts w:ascii="Garamond" w:hAnsi="Garamond"/>
          <w:sz w:val="24"/>
          <w:szCs w:val="24"/>
        </w:rPr>
        <w:t>Martasila</w:t>
      </w:r>
      <w:proofErr w:type="spellEnd"/>
      <w:r w:rsidRPr="00691DF9">
        <w:rPr>
          <w:rFonts w:ascii="Garamond" w:hAnsi="Garamond"/>
          <w:sz w:val="24"/>
          <w:szCs w:val="24"/>
        </w:rPr>
        <w:t xml:space="preserve"> and Abidin (2025) examined the relevance of Al-Ghazali’s educational thought to Generation Z in the digital era. More recently, </w:t>
      </w:r>
      <w:proofErr w:type="spellStart"/>
      <w:r w:rsidRPr="00691DF9">
        <w:rPr>
          <w:rFonts w:ascii="Garamond" w:hAnsi="Garamond"/>
          <w:sz w:val="24"/>
          <w:szCs w:val="24"/>
        </w:rPr>
        <w:t>Fathoni</w:t>
      </w:r>
      <w:proofErr w:type="spellEnd"/>
      <w:r w:rsidRPr="00691DF9">
        <w:rPr>
          <w:rFonts w:ascii="Garamond" w:hAnsi="Garamond"/>
          <w:sz w:val="24"/>
          <w:szCs w:val="24"/>
        </w:rPr>
        <w:t xml:space="preserve"> et al. (2026) reconstructed Al-Ghazali’s character education through a framework involving family, school, and community. Although these studies connect classical thought with contemporary educational challenges, their analyses largely concentrate on particular scholars, selected educational models, or specific applications.</w:t>
      </w:r>
    </w:p>
    <w:p w14:paraId="7F080C54"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Related research has also examined the implementation of </w:t>
      </w:r>
      <w:proofErr w:type="spellStart"/>
      <w:r w:rsidRPr="00691DF9">
        <w:rPr>
          <w:rFonts w:ascii="Garamond" w:hAnsi="Garamond"/>
          <w:sz w:val="24"/>
          <w:szCs w:val="24"/>
        </w:rPr>
        <w:t>akhlāq</w:t>
      </w:r>
      <w:proofErr w:type="spellEnd"/>
      <w:r w:rsidRPr="00691DF9">
        <w:rPr>
          <w:rFonts w:ascii="Garamond" w:hAnsi="Garamond"/>
          <w:sz w:val="24"/>
          <w:szCs w:val="24"/>
        </w:rPr>
        <w:t xml:space="preserve"> education in different institutional and social contexts. Studies have discussed moral education in </w:t>
      </w:r>
      <w:proofErr w:type="spellStart"/>
      <w:r w:rsidRPr="00691DF9">
        <w:rPr>
          <w:rFonts w:ascii="Garamond" w:hAnsi="Garamond"/>
          <w:sz w:val="24"/>
          <w:szCs w:val="24"/>
        </w:rPr>
        <w:t>pesantren</w:t>
      </w:r>
      <w:proofErr w:type="spellEnd"/>
      <w:r w:rsidRPr="00691DF9">
        <w:rPr>
          <w:rFonts w:ascii="Garamond" w:hAnsi="Garamond"/>
          <w:sz w:val="24"/>
          <w:szCs w:val="24"/>
        </w:rPr>
        <w:t xml:space="preserve"> (Edy et al., 2022), students’ self-control in the digital era (Putri et al., 2024), habituation of commendable behavior through </w:t>
      </w:r>
      <w:proofErr w:type="spellStart"/>
      <w:r w:rsidRPr="00691DF9">
        <w:rPr>
          <w:rFonts w:ascii="Garamond" w:hAnsi="Garamond"/>
          <w:sz w:val="24"/>
          <w:szCs w:val="24"/>
        </w:rPr>
        <w:t>Akidah</w:t>
      </w:r>
      <w:proofErr w:type="spellEnd"/>
      <w:r w:rsidRPr="00691DF9">
        <w:rPr>
          <w:rFonts w:ascii="Garamond" w:hAnsi="Garamond"/>
          <w:sz w:val="24"/>
          <w:szCs w:val="24"/>
        </w:rPr>
        <w:t xml:space="preserve"> </w:t>
      </w:r>
      <w:proofErr w:type="spellStart"/>
      <w:r w:rsidRPr="00691DF9">
        <w:rPr>
          <w:rFonts w:ascii="Garamond" w:hAnsi="Garamond"/>
          <w:sz w:val="24"/>
          <w:szCs w:val="24"/>
        </w:rPr>
        <w:t>Akhlak</w:t>
      </w:r>
      <w:proofErr w:type="spellEnd"/>
      <w:r w:rsidRPr="00691DF9">
        <w:rPr>
          <w:rFonts w:ascii="Garamond" w:hAnsi="Garamond"/>
          <w:sz w:val="24"/>
          <w:szCs w:val="24"/>
        </w:rPr>
        <w:t xml:space="preserve"> learning (</w:t>
      </w:r>
      <w:proofErr w:type="spellStart"/>
      <w:r w:rsidRPr="00691DF9">
        <w:rPr>
          <w:rFonts w:ascii="Garamond" w:hAnsi="Garamond"/>
          <w:sz w:val="24"/>
          <w:szCs w:val="24"/>
        </w:rPr>
        <w:t>Syafi’i</w:t>
      </w:r>
      <w:proofErr w:type="spellEnd"/>
      <w:r w:rsidRPr="00691DF9">
        <w:rPr>
          <w:rFonts w:ascii="Garamond" w:hAnsi="Garamond"/>
          <w:sz w:val="24"/>
          <w:szCs w:val="24"/>
        </w:rPr>
        <w:t xml:space="preserve"> et al., 2024), and teachers’ responses to changing student behavior (</w:t>
      </w:r>
      <w:proofErr w:type="spellStart"/>
      <w:r w:rsidRPr="00691DF9">
        <w:rPr>
          <w:rFonts w:ascii="Garamond" w:hAnsi="Garamond"/>
          <w:sz w:val="24"/>
          <w:szCs w:val="24"/>
        </w:rPr>
        <w:t>Fitriyah</w:t>
      </w:r>
      <w:proofErr w:type="spellEnd"/>
      <w:r w:rsidRPr="00691DF9">
        <w:rPr>
          <w:rFonts w:ascii="Garamond" w:hAnsi="Garamond"/>
          <w:sz w:val="24"/>
          <w:szCs w:val="24"/>
        </w:rPr>
        <w:t xml:space="preserve"> et al., 2024). Research on bullying prevention further emphasizes the importance of empathy, responsibility, and respect in moral education (</w:t>
      </w:r>
      <w:proofErr w:type="spellStart"/>
      <w:r w:rsidRPr="00691DF9">
        <w:rPr>
          <w:rFonts w:ascii="Garamond" w:hAnsi="Garamond"/>
          <w:sz w:val="24"/>
          <w:szCs w:val="24"/>
        </w:rPr>
        <w:t>Humaida</w:t>
      </w:r>
      <w:proofErr w:type="spellEnd"/>
      <w:r w:rsidRPr="00691DF9">
        <w:rPr>
          <w:rFonts w:ascii="Garamond" w:hAnsi="Garamond"/>
          <w:sz w:val="24"/>
          <w:szCs w:val="24"/>
        </w:rPr>
        <w:t xml:space="preserve"> et al., 2024). Other contributions highlight the integration of Islamic moral values into holistic education involving classrooms, peers, families, and communities (</w:t>
      </w:r>
      <w:proofErr w:type="spellStart"/>
      <w:r w:rsidRPr="00691DF9">
        <w:rPr>
          <w:rFonts w:ascii="Garamond" w:hAnsi="Garamond"/>
          <w:sz w:val="24"/>
          <w:szCs w:val="24"/>
        </w:rPr>
        <w:t>Maulida</w:t>
      </w:r>
      <w:proofErr w:type="spellEnd"/>
      <w:r w:rsidRPr="00691DF9">
        <w:rPr>
          <w:rFonts w:ascii="Garamond" w:hAnsi="Garamond"/>
          <w:sz w:val="24"/>
          <w:szCs w:val="24"/>
        </w:rPr>
        <w:t xml:space="preserve"> et al., 2025), as well as the relationship between Islamic-value-based education and students’ moral development (</w:t>
      </w:r>
      <w:proofErr w:type="spellStart"/>
      <w:r w:rsidRPr="00691DF9">
        <w:rPr>
          <w:rFonts w:ascii="Garamond" w:hAnsi="Garamond"/>
          <w:sz w:val="24"/>
          <w:szCs w:val="24"/>
        </w:rPr>
        <w:t>Murtadlo</w:t>
      </w:r>
      <w:proofErr w:type="spellEnd"/>
      <w:r w:rsidRPr="00691DF9">
        <w:rPr>
          <w:rFonts w:ascii="Garamond" w:hAnsi="Garamond"/>
          <w:sz w:val="24"/>
          <w:szCs w:val="24"/>
        </w:rPr>
        <w:t xml:space="preserve"> et al., 2025). Living Values Education has also been discussed as a means of developing ethical, social, and emotional dimensions of character in Islamic schools (</w:t>
      </w:r>
      <w:proofErr w:type="spellStart"/>
      <w:r w:rsidRPr="00691DF9">
        <w:rPr>
          <w:rFonts w:ascii="Garamond" w:hAnsi="Garamond"/>
          <w:sz w:val="24"/>
          <w:szCs w:val="24"/>
        </w:rPr>
        <w:t>Hidayatulloh</w:t>
      </w:r>
      <w:proofErr w:type="spellEnd"/>
      <w:r w:rsidRPr="00691DF9">
        <w:rPr>
          <w:rFonts w:ascii="Garamond" w:hAnsi="Garamond"/>
          <w:sz w:val="24"/>
          <w:szCs w:val="24"/>
        </w:rPr>
        <w:t xml:space="preserve"> et al., 2024).</w:t>
      </w:r>
    </w:p>
    <w:p w14:paraId="72CDFCAF"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Additional studies emphasize religious habituation in primary education (</w:t>
      </w:r>
      <w:proofErr w:type="spellStart"/>
      <w:r w:rsidRPr="00691DF9">
        <w:rPr>
          <w:rFonts w:ascii="Garamond" w:hAnsi="Garamond"/>
          <w:sz w:val="24"/>
          <w:szCs w:val="24"/>
        </w:rPr>
        <w:t>Nurizah</w:t>
      </w:r>
      <w:proofErr w:type="spellEnd"/>
      <w:r w:rsidRPr="00691DF9">
        <w:rPr>
          <w:rFonts w:ascii="Garamond" w:hAnsi="Garamond"/>
          <w:sz w:val="24"/>
          <w:szCs w:val="24"/>
        </w:rPr>
        <w:t xml:space="preserve"> &amp; </w:t>
      </w:r>
      <w:proofErr w:type="spellStart"/>
      <w:r w:rsidRPr="00691DF9">
        <w:rPr>
          <w:rFonts w:ascii="Garamond" w:hAnsi="Garamond"/>
          <w:sz w:val="24"/>
          <w:szCs w:val="24"/>
        </w:rPr>
        <w:t>Amrullah</w:t>
      </w:r>
      <w:proofErr w:type="spellEnd"/>
      <w:r w:rsidRPr="00691DF9">
        <w:rPr>
          <w:rFonts w:ascii="Garamond" w:hAnsi="Garamond"/>
          <w:sz w:val="24"/>
          <w:szCs w:val="24"/>
        </w:rPr>
        <w:t xml:space="preserve">, 2024), character formation through Islamic Religious Education (Aditya Maulana &amp; </w:t>
      </w:r>
      <w:proofErr w:type="spellStart"/>
      <w:r w:rsidRPr="00691DF9">
        <w:rPr>
          <w:rFonts w:ascii="Garamond" w:hAnsi="Garamond"/>
          <w:sz w:val="24"/>
          <w:szCs w:val="24"/>
        </w:rPr>
        <w:t>Purba</w:t>
      </w:r>
      <w:proofErr w:type="spellEnd"/>
      <w:r w:rsidRPr="00691DF9">
        <w:rPr>
          <w:rFonts w:ascii="Garamond" w:hAnsi="Garamond"/>
          <w:sz w:val="24"/>
          <w:szCs w:val="24"/>
        </w:rPr>
        <w:t>, 2024), the relationship between Al-Ghazali’s rationality and Islamic education (</w:t>
      </w:r>
      <w:proofErr w:type="spellStart"/>
      <w:r w:rsidRPr="00691DF9">
        <w:rPr>
          <w:rFonts w:ascii="Garamond" w:hAnsi="Garamond"/>
          <w:sz w:val="24"/>
          <w:szCs w:val="24"/>
        </w:rPr>
        <w:t>Mahdany</w:t>
      </w:r>
      <w:proofErr w:type="spellEnd"/>
      <w:r w:rsidRPr="00691DF9">
        <w:rPr>
          <w:rFonts w:ascii="Garamond" w:hAnsi="Garamond"/>
          <w:sz w:val="24"/>
          <w:szCs w:val="24"/>
        </w:rPr>
        <w:t xml:space="preserve"> et al., 2025), and ethical and social responsibility in Islamic character education during the digital era (</w:t>
      </w:r>
      <w:proofErr w:type="spellStart"/>
      <w:r w:rsidRPr="00691DF9">
        <w:rPr>
          <w:rFonts w:ascii="Garamond" w:hAnsi="Garamond"/>
          <w:sz w:val="24"/>
          <w:szCs w:val="24"/>
        </w:rPr>
        <w:t>Dimyathi</w:t>
      </w:r>
      <w:proofErr w:type="spellEnd"/>
      <w:r w:rsidRPr="00691DF9">
        <w:rPr>
          <w:rFonts w:ascii="Garamond" w:hAnsi="Garamond"/>
          <w:sz w:val="24"/>
          <w:szCs w:val="24"/>
        </w:rPr>
        <w:t xml:space="preserve"> et al., 2025). The integration of Islamic teachings into school character education has likewise been associated with strengthening morality and ethics (</w:t>
      </w:r>
      <w:proofErr w:type="spellStart"/>
      <w:r w:rsidRPr="00691DF9">
        <w:rPr>
          <w:rFonts w:ascii="Garamond" w:hAnsi="Garamond"/>
          <w:sz w:val="24"/>
          <w:szCs w:val="24"/>
        </w:rPr>
        <w:t>Romzi</w:t>
      </w:r>
      <w:proofErr w:type="spellEnd"/>
      <w:r w:rsidRPr="00691DF9">
        <w:rPr>
          <w:rFonts w:ascii="Garamond" w:hAnsi="Garamond"/>
          <w:sz w:val="24"/>
          <w:szCs w:val="24"/>
        </w:rPr>
        <w:t xml:space="preserve"> et al., 2024). Meanwhile, Al-Ghazali’s educational philosophy has been discussed in relation to character formation and contemporary social needs (</w:t>
      </w:r>
      <w:proofErr w:type="spellStart"/>
      <w:r w:rsidRPr="00691DF9">
        <w:rPr>
          <w:rFonts w:ascii="Garamond" w:hAnsi="Garamond"/>
          <w:sz w:val="24"/>
          <w:szCs w:val="24"/>
        </w:rPr>
        <w:t>Kurniawati</w:t>
      </w:r>
      <w:proofErr w:type="spellEnd"/>
      <w:r w:rsidRPr="00691DF9">
        <w:rPr>
          <w:rFonts w:ascii="Garamond" w:hAnsi="Garamond"/>
          <w:sz w:val="24"/>
          <w:szCs w:val="24"/>
        </w:rPr>
        <w:t xml:space="preserve"> et al., 2023), and Indonesian studies have emphasized the development of digital ethics through Islamic Religious Education (Setiawan et al., 2025). Collectively, this literature establishes the continuing relevance of Islamic ethics but also reveals that historical-philosophical inquiry and practical educational research are often addressed separately.</w:t>
      </w:r>
    </w:p>
    <w:p w14:paraId="6363B464"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The principal research gap, therefore, concerns the insufficient integration of historical development, conceptual comparison, and contemporary educational implications within a single </w:t>
      </w:r>
      <w:r w:rsidRPr="00691DF9">
        <w:rPr>
          <w:rFonts w:ascii="Garamond" w:hAnsi="Garamond"/>
          <w:sz w:val="24"/>
          <w:szCs w:val="24"/>
        </w:rPr>
        <w:lastRenderedPageBreak/>
        <w:t>analytical framework. Although previous studies have examined classical scholars, contemporary character education, and the implementation of Islamic moral values, they have largely focused on individual thinkers, particular educational strategies, or specific institutional contexts. Consequently, the relationships between classical ethical foundations, contemporary Muslim interpretations, and their implications for the aims, content, methods, and assessment of Islamic Religious Education remain insufficiently synthesized. This limitation matters because educational practices may adopt moral concepts without adequately explaining their intellectual foundations or how those concepts should be interpreted in changing circumstances. Addressing this gap requires an analysis that distinguishes continuity from change while avoiding the assumption that classical and contemporary perspectives are either identical or fundamentally incompatible.</w:t>
      </w:r>
    </w:p>
    <w:p w14:paraId="030C530C"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To address this gap, the present study examines the dynamics of Islamic ethical thought from classical scholars to contemporary Muslim thinkers and its implications for Islamic Religious Education. Its principal novelty is integrative and conceptual: rather than focusing exclusively on one scholar or a particular instructional intervention, it brings historical-philosophical perspectives into dialogue with contemporary discussions of character education. The study considers how ethical concepts, including spiritual cultivation, rational reflection, habituation, exemplary conduct, and social responsibility, can inform contemporary IRE. It also seeks to clarify the similarities and differences between classical and contemporary perspectives and to identify their implications for educational objectives, learning content, pedagogical approaches, and character assessment. Accordingly, the study addresses three interconnected questions: how Islamic ethical thought has developed from classical scholars to contemporary Muslim thinkers; what similarities and differences characterize their understandings of </w:t>
      </w:r>
      <w:proofErr w:type="spellStart"/>
      <w:r w:rsidRPr="00691DF9">
        <w:rPr>
          <w:rFonts w:ascii="Garamond" w:hAnsi="Garamond"/>
          <w:sz w:val="24"/>
          <w:szCs w:val="24"/>
        </w:rPr>
        <w:t>akhlāq</w:t>
      </w:r>
      <w:proofErr w:type="spellEnd"/>
      <w:r w:rsidRPr="00691DF9">
        <w:rPr>
          <w:rFonts w:ascii="Garamond" w:hAnsi="Garamond"/>
          <w:sz w:val="24"/>
          <w:szCs w:val="24"/>
        </w:rPr>
        <w:t>; and how these perspectives can inform the development of Islamic Religious Education. By connecting intellectual history with educational application, the study aims to contribute a more coherent conceptual foundation for understanding Islamic moral education in contemporary contexts.</w:t>
      </w:r>
    </w:p>
    <w:p w14:paraId="5E1892A2" w14:textId="3A174F16" w:rsidR="001C1B50" w:rsidRPr="00691DF9" w:rsidRDefault="00691DF9" w:rsidP="00691DF9">
      <w:pPr>
        <w:pStyle w:val="NoSpacing"/>
        <w:spacing w:line="276" w:lineRule="auto"/>
        <w:jc w:val="both"/>
        <w:rPr>
          <w:rFonts w:ascii="Garamond" w:hAnsi="Garamond"/>
          <w:b/>
          <w:bCs/>
          <w:sz w:val="24"/>
          <w:szCs w:val="24"/>
        </w:rPr>
      </w:pPr>
      <w:r w:rsidRPr="00691DF9">
        <w:rPr>
          <w:rFonts w:ascii="Garamond" w:hAnsi="Garamond"/>
          <w:b/>
          <w:bCs/>
          <w:sz w:val="24"/>
          <w:szCs w:val="24"/>
        </w:rPr>
        <w:t>METHODS</w:t>
      </w:r>
    </w:p>
    <w:p w14:paraId="6FBE4882" w14:textId="77777777" w:rsidR="001C1B50" w:rsidRPr="00691DF9" w:rsidRDefault="001C1B50" w:rsidP="00691DF9">
      <w:pPr>
        <w:pStyle w:val="NoSpacing"/>
        <w:spacing w:line="276" w:lineRule="auto"/>
        <w:jc w:val="both"/>
        <w:rPr>
          <w:rFonts w:ascii="Garamond" w:hAnsi="Garamond"/>
          <w:b/>
          <w:bCs/>
          <w:sz w:val="24"/>
          <w:szCs w:val="24"/>
        </w:rPr>
      </w:pPr>
      <w:r w:rsidRPr="00691DF9">
        <w:rPr>
          <w:rFonts w:ascii="Garamond" w:hAnsi="Garamond"/>
          <w:b/>
          <w:bCs/>
          <w:sz w:val="24"/>
          <w:szCs w:val="24"/>
        </w:rPr>
        <w:t>1. Research Approach and Design</w:t>
      </w:r>
    </w:p>
    <w:p w14:paraId="71F0A680"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This study employed a qualitative library-based research design to examine the development of Islamic ethical thought from classical scholars to contemporary Muslim thinkers and its implications for Islamic Religious Education (IRE). A qualitative approach was appropriate because the study focused on interpreting concepts, comparing intellectual perspectives, and synthesizing their educational significance rather than measuring variables statistically. Creswell and Creswell (2023) explained that qualitative inquiry enables researchers to explore meanings and interpret complex issues within their broader contexts. Similarly, Zed (2018) described library research as a systematic process of locating, reading, recording, and analyzing relevant literature. Accordingly, the study adopted a conceptual and comparative orientation to identify continuities, differences, and transformations in Islamic ethical thought across historical periods.</w:t>
      </w:r>
    </w:p>
    <w:p w14:paraId="38305F55" w14:textId="77777777" w:rsidR="001C1B50" w:rsidRPr="00691DF9" w:rsidRDefault="001C1B50" w:rsidP="00691DF9">
      <w:pPr>
        <w:pStyle w:val="NoSpacing"/>
        <w:spacing w:line="276" w:lineRule="auto"/>
        <w:jc w:val="both"/>
        <w:rPr>
          <w:rFonts w:ascii="Garamond" w:hAnsi="Garamond"/>
          <w:b/>
          <w:bCs/>
          <w:sz w:val="24"/>
          <w:szCs w:val="24"/>
        </w:rPr>
      </w:pPr>
      <w:r w:rsidRPr="00691DF9">
        <w:rPr>
          <w:rFonts w:ascii="Garamond" w:hAnsi="Garamond"/>
          <w:b/>
          <w:bCs/>
          <w:sz w:val="24"/>
          <w:szCs w:val="24"/>
        </w:rPr>
        <w:t>2. Data Sources and Selection Criteria</w:t>
      </w:r>
    </w:p>
    <w:p w14:paraId="32C609D6"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The data consisted of relevant scholarly publications concerning Islamic ethics (</w:t>
      </w:r>
      <w:proofErr w:type="spellStart"/>
      <w:r w:rsidRPr="00691DF9">
        <w:rPr>
          <w:rFonts w:ascii="Garamond" w:hAnsi="Garamond"/>
          <w:sz w:val="24"/>
          <w:szCs w:val="24"/>
        </w:rPr>
        <w:t>akhlāq</w:t>
      </w:r>
      <w:proofErr w:type="spellEnd"/>
      <w:r w:rsidRPr="00691DF9">
        <w:rPr>
          <w:rFonts w:ascii="Garamond" w:hAnsi="Garamond"/>
          <w:sz w:val="24"/>
          <w:szCs w:val="24"/>
        </w:rPr>
        <w:t xml:space="preserve">), classical Muslim ethical philosophy, contemporary Muslim thought, and character formation in IRE. The materials identified for this study included the 25 relevant articles and the 10 previous studies provided in the research materials, together with relevant primary texts by classical and contemporary thinkers where these had been consulted and were accessible. The literature was selected according to its relevance to the research questions, its contribution to explaining ethical concepts, and its usefulness for examining educational implications. Yin (2018) emphasized the </w:t>
      </w:r>
      <w:r w:rsidRPr="00691DF9">
        <w:rPr>
          <w:rFonts w:ascii="Garamond" w:hAnsi="Garamond"/>
          <w:sz w:val="24"/>
          <w:szCs w:val="24"/>
        </w:rPr>
        <w:lastRenderedPageBreak/>
        <w:t xml:space="preserve">importance of establishing a clear logic for selecting and examining documentary evidence in research. In the Indonesian methodological context, </w:t>
      </w:r>
      <w:proofErr w:type="spellStart"/>
      <w:r w:rsidRPr="00691DF9">
        <w:rPr>
          <w:rFonts w:ascii="Garamond" w:hAnsi="Garamond"/>
          <w:sz w:val="24"/>
          <w:szCs w:val="24"/>
        </w:rPr>
        <w:t>Sidiq</w:t>
      </w:r>
      <w:proofErr w:type="spellEnd"/>
      <w:r w:rsidRPr="00691DF9">
        <w:rPr>
          <w:rFonts w:ascii="Garamond" w:hAnsi="Garamond"/>
          <w:sz w:val="24"/>
          <w:szCs w:val="24"/>
        </w:rPr>
        <w:t xml:space="preserve"> and </w:t>
      </w:r>
      <w:proofErr w:type="spellStart"/>
      <w:r w:rsidRPr="00691DF9">
        <w:rPr>
          <w:rFonts w:ascii="Garamond" w:hAnsi="Garamond"/>
          <w:sz w:val="24"/>
          <w:szCs w:val="24"/>
        </w:rPr>
        <w:t>Choiri</w:t>
      </w:r>
      <w:proofErr w:type="spellEnd"/>
      <w:r w:rsidRPr="00691DF9">
        <w:rPr>
          <w:rFonts w:ascii="Garamond" w:hAnsi="Garamond"/>
          <w:sz w:val="24"/>
          <w:szCs w:val="24"/>
        </w:rPr>
        <w:t xml:space="preserve"> (2019) likewise presented qualitative inquiry as an interpretive process that requires relevant sources and systematic procedures. The selection process therefore prioritized materials that directly addressed ethical foundations, comparisons between thinkers, and the application of moral ideas to education.</w:t>
      </w:r>
    </w:p>
    <w:p w14:paraId="727414EE" w14:textId="77777777" w:rsidR="001C1B50" w:rsidRPr="00691DF9" w:rsidRDefault="001C1B50" w:rsidP="00691DF9">
      <w:pPr>
        <w:pStyle w:val="NoSpacing"/>
        <w:spacing w:line="276" w:lineRule="auto"/>
        <w:jc w:val="both"/>
        <w:rPr>
          <w:rFonts w:ascii="Garamond" w:hAnsi="Garamond"/>
          <w:b/>
          <w:bCs/>
          <w:sz w:val="24"/>
          <w:szCs w:val="24"/>
        </w:rPr>
      </w:pPr>
      <w:r w:rsidRPr="00691DF9">
        <w:rPr>
          <w:rFonts w:ascii="Garamond" w:hAnsi="Garamond"/>
          <w:b/>
          <w:bCs/>
          <w:sz w:val="24"/>
          <w:szCs w:val="24"/>
        </w:rPr>
        <w:t>3. Data Collection Procedures</w:t>
      </w:r>
    </w:p>
    <w:p w14:paraId="6A53E585"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Data were collected through documentary review and structured note-taking. The researcher examined the selected publications to identify their central arguments, conceptual definitions, explanations of moral development, and discussions of educational practice. Particular attention was given to recurring concepts such as spiritual purification, rational reflection, habituation, exemplary conduct, self-discipline, and social responsibility. The information was recorded in a literature matrix containing the author and year, the thinker or ethical perspective discussed, the principal argument, the research findings, and the relevance to IRE. Ravitch and Carl (2020) emphasized the importance of connecting conceptual frameworks with research questions and methodological decisions in qualitative inquiry. </w:t>
      </w:r>
      <w:proofErr w:type="spellStart"/>
      <w:r w:rsidRPr="00691DF9">
        <w:rPr>
          <w:rFonts w:ascii="Garamond" w:hAnsi="Garamond"/>
          <w:sz w:val="24"/>
          <w:szCs w:val="24"/>
        </w:rPr>
        <w:t>Hardani</w:t>
      </w:r>
      <w:proofErr w:type="spellEnd"/>
      <w:r w:rsidRPr="00691DF9">
        <w:rPr>
          <w:rFonts w:ascii="Garamond" w:hAnsi="Garamond"/>
          <w:sz w:val="24"/>
          <w:szCs w:val="24"/>
        </w:rPr>
        <w:t xml:space="preserve"> et al. (2020) also described qualitative research as an interpretive process requiring systematic collection and organization of textual information. These principles guided the organization of the literature into comparable categories.</w:t>
      </w:r>
    </w:p>
    <w:p w14:paraId="2F991149" w14:textId="77777777" w:rsidR="001C1B50" w:rsidRPr="00691DF9" w:rsidRDefault="001C1B50" w:rsidP="00691DF9">
      <w:pPr>
        <w:pStyle w:val="NoSpacing"/>
        <w:spacing w:line="276" w:lineRule="auto"/>
        <w:jc w:val="both"/>
        <w:rPr>
          <w:rFonts w:ascii="Garamond" w:hAnsi="Garamond"/>
          <w:b/>
          <w:bCs/>
          <w:sz w:val="24"/>
          <w:szCs w:val="24"/>
        </w:rPr>
      </w:pPr>
      <w:r w:rsidRPr="00691DF9">
        <w:rPr>
          <w:rFonts w:ascii="Garamond" w:hAnsi="Garamond"/>
          <w:b/>
          <w:bCs/>
          <w:sz w:val="24"/>
          <w:szCs w:val="24"/>
        </w:rPr>
        <w:t>4. Data Analysis Techniques</w:t>
      </w:r>
    </w:p>
    <w:p w14:paraId="1E38DB90"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The collected data were analyzed using qualitative content analysis and comparative thematic synthesis. First, the researcher read the selected materials repeatedly to become familiar with their arguments. Second, relevant statements were coded according to their ethical concepts, underlying assumptions, educational purposes, and proposed methods of character formation. Third, related codes were grouped into broader themes representing classical perspectives, contemporary interpretations, areas of continuity and difference, and implications for IRE. </w:t>
      </w:r>
      <w:proofErr w:type="spellStart"/>
      <w:r w:rsidRPr="00691DF9">
        <w:rPr>
          <w:rFonts w:ascii="Garamond" w:hAnsi="Garamond"/>
          <w:sz w:val="24"/>
          <w:szCs w:val="24"/>
        </w:rPr>
        <w:t>Saldaña</w:t>
      </w:r>
      <w:proofErr w:type="spellEnd"/>
      <w:r w:rsidRPr="00691DF9">
        <w:rPr>
          <w:rFonts w:ascii="Garamond" w:hAnsi="Garamond"/>
          <w:sz w:val="24"/>
          <w:szCs w:val="24"/>
        </w:rPr>
        <w:t xml:space="preserve"> (2021) explained that coding helps researchers organize qualitative material into meaningful categories that support subsequent interpretation. </w:t>
      </w:r>
      <w:proofErr w:type="spellStart"/>
      <w:r w:rsidRPr="00691DF9">
        <w:rPr>
          <w:rFonts w:ascii="Garamond" w:hAnsi="Garamond"/>
          <w:sz w:val="24"/>
          <w:szCs w:val="24"/>
        </w:rPr>
        <w:t>Sugiyono</w:t>
      </w:r>
      <w:proofErr w:type="spellEnd"/>
      <w:r w:rsidRPr="00691DF9">
        <w:rPr>
          <w:rFonts w:ascii="Garamond" w:hAnsi="Garamond"/>
          <w:sz w:val="24"/>
          <w:szCs w:val="24"/>
        </w:rPr>
        <w:t xml:space="preserve"> (2022) similarly outlined the importance of organizing, categorizing, and interpreting qualitative data to develop conclusions grounded in the collected material. The analysis then compared the themes across sources to identify conceptual relationships and differences without assuming that all scholars shared identical positions.</w:t>
      </w:r>
    </w:p>
    <w:p w14:paraId="064BE614" w14:textId="77777777" w:rsidR="001C1B50" w:rsidRPr="00691DF9" w:rsidRDefault="001C1B50" w:rsidP="00691DF9">
      <w:pPr>
        <w:pStyle w:val="NoSpacing"/>
        <w:spacing w:line="276" w:lineRule="auto"/>
        <w:jc w:val="both"/>
        <w:rPr>
          <w:rFonts w:ascii="Garamond" w:hAnsi="Garamond"/>
          <w:b/>
          <w:bCs/>
          <w:sz w:val="24"/>
          <w:szCs w:val="24"/>
        </w:rPr>
      </w:pPr>
      <w:r w:rsidRPr="00691DF9">
        <w:rPr>
          <w:rFonts w:ascii="Garamond" w:hAnsi="Garamond"/>
          <w:b/>
          <w:bCs/>
          <w:sz w:val="24"/>
          <w:szCs w:val="24"/>
        </w:rPr>
        <w:t>5. Trustworthiness and Analytical Rigor</w:t>
      </w:r>
    </w:p>
    <w:p w14:paraId="28C63AAD" w14:textId="050406B7" w:rsidR="001C1B50"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Analytical rigor was supported through careful comparison of claims across sources, attention to differences in historical and intellectual contexts, and the separation of authors’ arguments from the researcher’s interpretations. Where sources addressed similar concepts, their definitions and reasoning were compared rather than treated as automatically equivalent. The analysis also considered whether educational implications were explicitly discussed in the literature or were derived interpretively from the ethical concepts examined. Braun and Clarke (2022) emphasized the importance of coherence between research questions, analytic procedures, and the interpretation of themes. </w:t>
      </w:r>
      <w:proofErr w:type="spellStart"/>
      <w:r w:rsidRPr="00691DF9">
        <w:rPr>
          <w:rFonts w:ascii="Garamond" w:hAnsi="Garamond"/>
          <w:sz w:val="24"/>
          <w:szCs w:val="24"/>
        </w:rPr>
        <w:t>Moleong</w:t>
      </w:r>
      <w:proofErr w:type="spellEnd"/>
      <w:r w:rsidRPr="00691DF9">
        <w:rPr>
          <w:rFonts w:ascii="Garamond" w:hAnsi="Garamond"/>
          <w:sz w:val="24"/>
          <w:szCs w:val="24"/>
        </w:rPr>
        <w:t xml:space="preserve"> (2022) likewise stressed the need for systematic procedures and careful interpretation in qualitative research. These principles informed the effort to maintain consistency between the selected literature, the comparative analysis, and the conclusions regarding the relevance of Islamic ethical thought to contemporary IRE.</w:t>
      </w:r>
    </w:p>
    <w:p w14:paraId="06823C50" w14:textId="4D509022" w:rsidR="00DA3E9D" w:rsidRDefault="00DA3E9D" w:rsidP="00691DF9">
      <w:pPr>
        <w:pStyle w:val="NoSpacing"/>
        <w:spacing w:line="276" w:lineRule="auto"/>
        <w:ind w:firstLine="567"/>
        <w:jc w:val="both"/>
        <w:rPr>
          <w:rFonts w:ascii="Garamond" w:hAnsi="Garamond"/>
          <w:sz w:val="24"/>
          <w:szCs w:val="24"/>
        </w:rPr>
      </w:pPr>
    </w:p>
    <w:p w14:paraId="26B639FD" w14:textId="37DB6199" w:rsidR="00DA3E9D" w:rsidRDefault="00DA3E9D" w:rsidP="00691DF9">
      <w:pPr>
        <w:pStyle w:val="NoSpacing"/>
        <w:spacing w:line="276" w:lineRule="auto"/>
        <w:ind w:firstLine="567"/>
        <w:jc w:val="both"/>
        <w:rPr>
          <w:rFonts w:ascii="Garamond" w:hAnsi="Garamond"/>
          <w:sz w:val="24"/>
          <w:szCs w:val="24"/>
        </w:rPr>
      </w:pPr>
    </w:p>
    <w:p w14:paraId="763BF761" w14:textId="758E4B68" w:rsidR="00DA3E9D" w:rsidRDefault="00DA3E9D" w:rsidP="00691DF9">
      <w:pPr>
        <w:pStyle w:val="NoSpacing"/>
        <w:spacing w:line="276" w:lineRule="auto"/>
        <w:ind w:firstLine="567"/>
        <w:jc w:val="both"/>
        <w:rPr>
          <w:rFonts w:ascii="Garamond" w:hAnsi="Garamond"/>
          <w:sz w:val="24"/>
          <w:szCs w:val="24"/>
        </w:rPr>
      </w:pPr>
    </w:p>
    <w:p w14:paraId="6EEFC8B1" w14:textId="77777777" w:rsidR="00DA3E9D" w:rsidRDefault="00DA3E9D" w:rsidP="00691DF9">
      <w:pPr>
        <w:pStyle w:val="NoSpacing"/>
        <w:spacing w:line="276" w:lineRule="auto"/>
        <w:ind w:firstLine="567"/>
        <w:jc w:val="both"/>
        <w:rPr>
          <w:rFonts w:ascii="Garamond" w:hAnsi="Garamond"/>
          <w:sz w:val="24"/>
          <w:szCs w:val="24"/>
        </w:rPr>
      </w:pPr>
    </w:p>
    <w:p w14:paraId="49220FE3" w14:textId="20807454" w:rsidR="00691DF9" w:rsidRPr="00691DF9" w:rsidRDefault="00691DF9" w:rsidP="00691DF9">
      <w:pPr>
        <w:pStyle w:val="NoSpacing"/>
        <w:spacing w:line="276" w:lineRule="auto"/>
        <w:jc w:val="both"/>
        <w:rPr>
          <w:rFonts w:ascii="Garamond" w:hAnsi="Garamond"/>
          <w:b/>
          <w:bCs/>
          <w:sz w:val="24"/>
          <w:szCs w:val="24"/>
        </w:rPr>
      </w:pPr>
      <w:r w:rsidRPr="00691DF9">
        <w:rPr>
          <w:rFonts w:ascii="Garamond" w:hAnsi="Garamond"/>
          <w:b/>
          <w:bCs/>
          <w:sz w:val="24"/>
          <w:szCs w:val="24"/>
        </w:rPr>
        <w:t>RESULTS</w:t>
      </w:r>
    </w:p>
    <w:p w14:paraId="35893757" w14:textId="792D7133" w:rsidR="001C1B50" w:rsidRPr="00691DF9" w:rsidRDefault="001C1B50" w:rsidP="004A2F7E">
      <w:pPr>
        <w:pStyle w:val="NoSpacing"/>
        <w:numPr>
          <w:ilvl w:val="0"/>
          <w:numId w:val="1"/>
        </w:numPr>
        <w:spacing w:line="276" w:lineRule="auto"/>
        <w:ind w:left="357" w:hanging="357"/>
        <w:jc w:val="both"/>
        <w:rPr>
          <w:rFonts w:ascii="Garamond" w:hAnsi="Garamond"/>
          <w:b/>
          <w:bCs/>
          <w:sz w:val="24"/>
          <w:szCs w:val="24"/>
        </w:rPr>
      </w:pPr>
      <w:r w:rsidRPr="00691DF9">
        <w:rPr>
          <w:rFonts w:ascii="Garamond" w:hAnsi="Garamond"/>
          <w:b/>
          <w:bCs/>
          <w:sz w:val="24"/>
          <w:szCs w:val="24"/>
        </w:rPr>
        <w:t>The Dynamics of Islamic Ethical Thought from Classical Scholars to Contemporary Muslim Thinkers</w:t>
      </w:r>
    </w:p>
    <w:p w14:paraId="6C1CCC4F"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Islamic ethical thought has developed through continuing engagement with religious principles, philosophical reasoning, spiritual cultivation, and changing social circumstances. The literature provided for this study indicates that </w:t>
      </w:r>
      <w:proofErr w:type="spellStart"/>
      <w:r w:rsidRPr="00691DF9">
        <w:rPr>
          <w:rFonts w:ascii="Garamond" w:hAnsi="Garamond"/>
          <w:sz w:val="24"/>
          <w:szCs w:val="24"/>
        </w:rPr>
        <w:t>akhlāq</w:t>
      </w:r>
      <w:proofErr w:type="spellEnd"/>
      <w:r w:rsidRPr="00691DF9">
        <w:rPr>
          <w:rFonts w:ascii="Garamond" w:hAnsi="Garamond"/>
          <w:sz w:val="24"/>
          <w:szCs w:val="24"/>
        </w:rPr>
        <w:t xml:space="preserve"> has been discussed both as a philosophical concern and as a foundation for educational practice. Classical perspectives remain important because they provide conceptual resources for understanding moral virtue, the cultivation of character, and the relationship between ethical knowledge and conduct. Contemporary scholarship, meanwhile, has revisited these ideas in response to challenges involving digital culture, social interaction, and the changing responsibilities of educational institutions. </w:t>
      </w:r>
      <w:proofErr w:type="spellStart"/>
      <w:r w:rsidRPr="00691DF9">
        <w:rPr>
          <w:rFonts w:ascii="Garamond" w:hAnsi="Garamond"/>
          <w:sz w:val="24"/>
          <w:szCs w:val="24"/>
        </w:rPr>
        <w:t>Muhsi</w:t>
      </w:r>
      <w:proofErr w:type="spellEnd"/>
      <w:r w:rsidRPr="00691DF9">
        <w:rPr>
          <w:rFonts w:ascii="Garamond" w:hAnsi="Garamond"/>
          <w:sz w:val="24"/>
          <w:szCs w:val="24"/>
        </w:rPr>
        <w:t xml:space="preserve"> and </w:t>
      </w:r>
      <w:proofErr w:type="spellStart"/>
      <w:r w:rsidRPr="00691DF9">
        <w:rPr>
          <w:rFonts w:ascii="Garamond" w:hAnsi="Garamond"/>
          <w:sz w:val="24"/>
          <w:szCs w:val="24"/>
        </w:rPr>
        <w:t>Nadlif</w:t>
      </w:r>
      <w:proofErr w:type="spellEnd"/>
      <w:r w:rsidRPr="00691DF9">
        <w:rPr>
          <w:rFonts w:ascii="Garamond" w:hAnsi="Garamond"/>
          <w:sz w:val="24"/>
          <w:szCs w:val="24"/>
        </w:rPr>
        <w:t xml:space="preserve"> (2021) examined Al-Ghazali’s perspective on moral education, while </w:t>
      </w:r>
      <w:proofErr w:type="spellStart"/>
      <w:r w:rsidRPr="00691DF9">
        <w:rPr>
          <w:rFonts w:ascii="Garamond" w:hAnsi="Garamond"/>
          <w:sz w:val="24"/>
          <w:szCs w:val="24"/>
        </w:rPr>
        <w:t>Mukhlis</w:t>
      </w:r>
      <w:proofErr w:type="spellEnd"/>
      <w:r w:rsidRPr="00691DF9">
        <w:rPr>
          <w:rFonts w:ascii="Garamond" w:hAnsi="Garamond"/>
          <w:sz w:val="24"/>
          <w:szCs w:val="24"/>
        </w:rPr>
        <w:t xml:space="preserve"> et al. (2024) connected the objectives of Islamic education with moral character and positive social contributions. Taken together, these studies suggest that Islamic ethical thought can be understood as a tradition that maintains its normative foundations while allowing different interpretations of how moral development should be pursued.</w:t>
      </w:r>
    </w:p>
    <w:p w14:paraId="27D6EC62" w14:textId="7CBCD80D" w:rsidR="001C1B50" w:rsidRPr="00691DF9" w:rsidRDefault="001C1B50" w:rsidP="004A2F7E">
      <w:pPr>
        <w:pStyle w:val="NoSpacing"/>
        <w:numPr>
          <w:ilvl w:val="0"/>
          <w:numId w:val="2"/>
        </w:numPr>
        <w:spacing w:line="276" w:lineRule="auto"/>
        <w:ind w:left="357" w:hanging="357"/>
        <w:jc w:val="both"/>
        <w:rPr>
          <w:rFonts w:ascii="Garamond" w:hAnsi="Garamond"/>
          <w:b/>
          <w:bCs/>
          <w:sz w:val="24"/>
          <w:szCs w:val="24"/>
        </w:rPr>
      </w:pPr>
      <w:r w:rsidRPr="00691DF9">
        <w:rPr>
          <w:rFonts w:ascii="Garamond" w:hAnsi="Garamond"/>
          <w:b/>
          <w:bCs/>
          <w:sz w:val="24"/>
          <w:szCs w:val="24"/>
        </w:rPr>
        <w:t>The Foundations of Islamic Ethical Thought in Classical Muslim Scholarship</w:t>
      </w:r>
    </w:p>
    <w:p w14:paraId="7B3744D6"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Classical Islamic ethical thought places moral development within a broader understanding of human purpose, religious responsibility, and the cultivation of virtuous conduct. From this perspective, ethical education involves more than acquiring knowledge of right and wrong; it also requires developing dispositions that enable individuals to act consistently with moral principles. Faqih and </w:t>
      </w:r>
      <w:proofErr w:type="spellStart"/>
      <w:r w:rsidRPr="00691DF9">
        <w:rPr>
          <w:rFonts w:ascii="Garamond" w:hAnsi="Garamond"/>
          <w:sz w:val="24"/>
          <w:szCs w:val="24"/>
        </w:rPr>
        <w:t>Widiyastuti</w:t>
      </w:r>
      <w:proofErr w:type="spellEnd"/>
      <w:r w:rsidRPr="00691DF9">
        <w:rPr>
          <w:rFonts w:ascii="Garamond" w:hAnsi="Garamond"/>
          <w:sz w:val="24"/>
          <w:szCs w:val="24"/>
        </w:rPr>
        <w:t xml:space="preserve"> (2021) discussed Al-Ghazali’s educational philosophy in relation to the formation of an Islamic character, while </w:t>
      </w:r>
      <w:proofErr w:type="spellStart"/>
      <w:r w:rsidRPr="00691DF9">
        <w:rPr>
          <w:rFonts w:ascii="Garamond" w:hAnsi="Garamond"/>
          <w:sz w:val="24"/>
          <w:szCs w:val="24"/>
        </w:rPr>
        <w:t>Muhsi</w:t>
      </w:r>
      <w:proofErr w:type="spellEnd"/>
      <w:r w:rsidRPr="00691DF9">
        <w:rPr>
          <w:rFonts w:ascii="Garamond" w:hAnsi="Garamond"/>
          <w:sz w:val="24"/>
          <w:szCs w:val="24"/>
        </w:rPr>
        <w:t xml:space="preserve"> and </w:t>
      </w:r>
      <w:proofErr w:type="spellStart"/>
      <w:r w:rsidRPr="00691DF9">
        <w:rPr>
          <w:rFonts w:ascii="Garamond" w:hAnsi="Garamond"/>
          <w:sz w:val="24"/>
          <w:szCs w:val="24"/>
        </w:rPr>
        <w:t>Nadlif</w:t>
      </w:r>
      <w:proofErr w:type="spellEnd"/>
      <w:r w:rsidRPr="00691DF9">
        <w:rPr>
          <w:rFonts w:ascii="Garamond" w:hAnsi="Garamond"/>
          <w:sz w:val="24"/>
          <w:szCs w:val="24"/>
        </w:rPr>
        <w:t xml:space="preserve"> (2021) examined his perspective on moral education and its relevance to contemporary Islamic educational practice. These studies establish Al-Ghazali’s thought as an important reference point for understanding the relationship between moral formation and Islamic education.</w:t>
      </w:r>
    </w:p>
    <w:p w14:paraId="1258D2C3"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The educational significance of classical ethical thought is also evident in discussions of the objectives of Islamic education. </w:t>
      </w:r>
      <w:proofErr w:type="spellStart"/>
      <w:r w:rsidRPr="00691DF9">
        <w:rPr>
          <w:rFonts w:ascii="Garamond" w:hAnsi="Garamond"/>
          <w:sz w:val="24"/>
          <w:szCs w:val="24"/>
        </w:rPr>
        <w:t>Mukhlis</w:t>
      </w:r>
      <w:proofErr w:type="spellEnd"/>
      <w:r w:rsidRPr="00691DF9">
        <w:rPr>
          <w:rFonts w:ascii="Garamond" w:hAnsi="Garamond"/>
          <w:sz w:val="24"/>
          <w:szCs w:val="24"/>
        </w:rPr>
        <w:t xml:space="preserve"> et al. (2024) emphasized the relationship between worldly responsibilities, orientation toward the hereafter, and the development of Muslim character. This perspective positions ethical formation within a comprehensive educational purpose that includes both personal development and positive contributions to society. Accordingly, the study of classical Islamic ethics can provide a conceptual basis for examining how religious commitments become moral dispositions and socially responsible behavior.</w:t>
      </w:r>
    </w:p>
    <w:p w14:paraId="749A309E"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However, classical scholarship should not be treated as a completely uniform body of thought. Differences among scholars concerning rational reflection, spiritual cultivation, and methods of moral development demonstrate the intellectual diversity within the tradition. Recognizing this diversity is necessary for avoiding simplified accounts of Islamic ethics and for examining how classical concepts can be interpreted meaningfully in contemporary educational contexts.</w:t>
      </w:r>
    </w:p>
    <w:p w14:paraId="5A481CED" w14:textId="02F94FAE" w:rsidR="001C1B50" w:rsidRPr="00691DF9" w:rsidRDefault="001C1B50" w:rsidP="004A2F7E">
      <w:pPr>
        <w:pStyle w:val="NoSpacing"/>
        <w:numPr>
          <w:ilvl w:val="0"/>
          <w:numId w:val="2"/>
        </w:numPr>
        <w:spacing w:line="276" w:lineRule="auto"/>
        <w:ind w:left="357" w:hanging="357"/>
        <w:jc w:val="both"/>
        <w:rPr>
          <w:rFonts w:ascii="Garamond" w:hAnsi="Garamond"/>
          <w:b/>
          <w:bCs/>
          <w:sz w:val="24"/>
          <w:szCs w:val="24"/>
        </w:rPr>
      </w:pPr>
      <w:r w:rsidRPr="00691DF9">
        <w:rPr>
          <w:rFonts w:ascii="Garamond" w:hAnsi="Garamond"/>
          <w:b/>
          <w:bCs/>
          <w:sz w:val="24"/>
          <w:szCs w:val="24"/>
        </w:rPr>
        <w:t xml:space="preserve">The Ethical Perspectives of </w:t>
      </w:r>
      <w:proofErr w:type="gramStart"/>
      <w:r w:rsidRPr="00691DF9">
        <w:rPr>
          <w:rFonts w:ascii="Garamond" w:hAnsi="Garamond"/>
          <w:b/>
          <w:bCs/>
          <w:sz w:val="24"/>
          <w:szCs w:val="24"/>
        </w:rPr>
        <w:t>Ibn</w:t>
      </w:r>
      <w:proofErr w:type="gramEnd"/>
      <w:r w:rsidRPr="00691DF9">
        <w:rPr>
          <w:rFonts w:ascii="Garamond" w:hAnsi="Garamond"/>
          <w:b/>
          <w:bCs/>
          <w:sz w:val="24"/>
          <w:szCs w:val="24"/>
        </w:rPr>
        <w:t xml:space="preserve"> </w:t>
      </w:r>
      <w:proofErr w:type="spellStart"/>
      <w:r w:rsidRPr="00691DF9">
        <w:rPr>
          <w:rFonts w:ascii="Garamond" w:hAnsi="Garamond"/>
          <w:b/>
          <w:bCs/>
          <w:sz w:val="24"/>
          <w:szCs w:val="24"/>
        </w:rPr>
        <w:t>Miskawayh</w:t>
      </w:r>
      <w:proofErr w:type="spellEnd"/>
      <w:r w:rsidRPr="00691DF9">
        <w:rPr>
          <w:rFonts w:ascii="Garamond" w:hAnsi="Garamond"/>
          <w:b/>
          <w:bCs/>
          <w:sz w:val="24"/>
          <w:szCs w:val="24"/>
        </w:rPr>
        <w:t xml:space="preserve"> and Al-Ghazali</w:t>
      </w:r>
    </w:p>
    <w:p w14:paraId="1B8A8FEF"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The ethical perspectives of Ibn </w:t>
      </w:r>
      <w:proofErr w:type="spellStart"/>
      <w:r w:rsidRPr="00691DF9">
        <w:rPr>
          <w:rFonts w:ascii="Garamond" w:hAnsi="Garamond"/>
          <w:sz w:val="24"/>
          <w:szCs w:val="24"/>
        </w:rPr>
        <w:t>Miskawayh</w:t>
      </w:r>
      <w:proofErr w:type="spellEnd"/>
      <w:r w:rsidRPr="00691DF9">
        <w:rPr>
          <w:rFonts w:ascii="Garamond" w:hAnsi="Garamond"/>
          <w:sz w:val="24"/>
          <w:szCs w:val="24"/>
        </w:rPr>
        <w:t xml:space="preserve"> and Al-Ghazali provide a useful basis for examining the diversity of classical Islamic moral thought. Although both scholars are associated with the cultivation of virtue and the improvement of human character, their approaches are not identical. </w:t>
      </w:r>
      <w:proofErr w:type="spellStart"/>
      <w:r w:rsidRPr="00691DF9">
        <w:rPr>
          <w:rFonts w:ascii="Garamond" w:hAnsi="Garamond"/>
          <w:sz w:val="24"/>
          <w:szCs w:val="24"/>
        </w:rPr>
        <w:t>Hermawan</w:t>
      </w:r>
      <w:proofErr w:type="spellEnd"/>
      <w:r w:rsidRPr="00691DF9">
        <w:rPr>
          <w:rFonts w:ascii="Garamond" w:hAnsi="Garamond"/>
          <w:sz w:val="24"/>
          <w:szCs w:val="24"/>
        </w:rPr>
        <w:t xml:space="preserve"> and </w:t>
      </w:r>
      <w:proofErr w:type="spellStart"/>
      <w:r w:rsidRPr="00691DF9">
        <w:rPr>
          <w:rFonts w:ascii="Garamond" w:hAnsi="Garamond"/>
          <w:sz w:val="24"/>
          <w:szCs w:val="24"/>
        </w:rPr>
        <w:t>Sudin</w:t>
      </w:r>
      <w:proofErr w:type="spellEnd"/>
      <w:r w:rsidRPr="00691DF9">
        <w:rPr>
          <w:rFonts w:ascii="Garamond" w:hAnsi="Garamond"/>
          <w:sz w:val="24"/>
          <w:szCs w:val="24"/>
        </w:rPr>
        <w:t xml:space="preserve"> (2025) compared their approaches to moral education, highlighting </w:t>
      </w:r>
      <w:r w:rsidRPr="00691DF9">
        <w:rPr>
          <w:rFonts w:ascii="Garamond" w:hAnsi="Garamond"/>
          <w:sz w:val="24"/>
          <w:szCs w:val="24"/>
        </w:rPr>
        <w:lastRenderedPageBreak/>
        <w:t xml:space="preserve">the importance of rationality and habituation in Ibn </w:t>
      </w:r>
      <w:proofErr w:type="spellStart"/>
      <w:r w:rsidRPr="00691DF9">
        <w:rPr>
          <w:rFonts w:ascii="Garamond" w:hAnsi="Garamond"/>
          <w:sz w:val="24"/>
          <w:szCs w:val="24"/>
        </w:rPr>
        <w:t>Miskawayh’s</w:t>
      </w:r>
      <w:proofErr w:type="spellEnd"/>
      <w:r w:rsidRPr="00691DF9">
        <w:rPr>
          <w:rFonts w:ascii="Garamond" w:hAnsi="Garamond"/>
          <w:sz w:val="24"/>
          <w:szCs w:val="24"/>
        </w:rPr>
        <w:t xml:space="preserve"> thought and the prominence of spirituality and purification of the soul in Al-Ghazali’s approach. These distinctions suggest that moral development involves interconnected intellectual, behavioral, and spiritual dimensions rather than a single educational mechanism.</w:t>
      </w:r>
    </w:p>
    <w:p w14:paraId="2DC08384" w14:textId="77777777" w:rsidR="001C1B50" w:rsidRPr="00691DF9" w:rsidRDefault="001C1B50" w:rsidP="00691DF9">
      <w:pPr>
        <w:pStyle w:val="NoSpacing"/>
        <w:spacing w:line="276" w:lineRule="auto"/>
        <w:ind w:firstLine="567"/>
        <w:jc w:val="both"/>
        <w:rPr>
          <w:rFonts w:ascii="Garamond" w:hAnsi="Garamond"/>
          <w:sz w:val="24"/>
          <w:szCs w:val="24"/>
        </w:rPr>
      </w:pPr>
      <w:proofErr w:type="spellStart"/>
      <w:r w:rsidRPr="00691DF9">
        <w:rPr>
          <w:rFonts w:ascii="Garamond" w:hAnsi="Garamond"/>
          <w:sz w:val="24"/>
          <w:szCs w:val="24"/>
        </w:rPr>
        <w:t>Faizin</w:t>
      </w:r>
      <w:proofErr w:type="spellEnd"/>
      <w:r w:rsidRPr="00691DF9">
        <w:rPr>
          <w:rFonts w:ascii="Garamond" w:hAnsi="Garamond"/>
          <w:sz w:val="24"/>
          <w:szCs w:val="24"/>
        </w:rPr>
        <w:t xml:space="preserve"> (2025), through a comparison of Al-Ghazali’s </w:t>
      </w:r>
      <w:proofErr w:type="spellStart"/>
      <w:r w:rsidRPr="00691DF9">
        <w:rPr>
          <w:rFonts w:ascii="Garamond" w:hAnsi="Garamond"/>
          <w:sz w:val="24"/>
          <w:szCs w:val="24"/>
        </w:rPr>
        <w:t>Ayyuhal</w:t>
      </w:r>
      <w:proofErr w:type="spellEnd"/>
      <w:r w:rsidRPr="00691DF9">
        <w:rPr>
          <w:rFonts w:ascii="Garamond" w:hAnsi="Garamond"/>
          <w:sz w:val="24"/>
          <w:szCs w:val="24"/>
        </w:rPr>
        <w:t xml:space="preserve"> </w:t>
      </w:r>
      <w:proofErr w:type="spellStart"/>
      <w:r w:rsidRPr="00691DF9">
        <w:rPr>
          <w:rFonts w:ascii="Garamond" w:hAnsi="Garamond"/>
          <w:sz w:val="24"/>
          <w:szCs w:val="24"/>
        </w:rPr>
        <w:t>Walad</w:t>
      </w:r>
      <w:proofErr w:type="spellEnd"/>
      <w:r w:rsidRPr="00691DF9">
        <w:rPr>
          <w:rFonts w:ascii="Garamond" w:hAnsi="Garamond"/>
          <w:sz w:val="24"/>
          <w:szCs w:val="24"/>
        </w:rPr>
        <w:t xml:space="preserve"> and Ibn </w:t>
      </w:r>
      <w:proofErr w:type="spellStart"/>
      <w:r w:rsidRPr="00691DF9">
        <w:rPr>
          <w:rFonts w:ascii="Garamond" w:hAnsi="Garamond"/>
          <w:sz w:val="24"/>
          <w:szCs w:val="24"/>
        </w:rPr>
        <w:t>Miskawayh’s</w:t>
      </w:r>
      <w:proofErr w:type="spellEnd"/>
      <w:r w:rsidRPr="00691DF9">
        <w:rPr>
          <w:rFonts w:ascii="Garamond" w:hAnsi="Garamond"/>
          <w:sz w:val="24"/>
          <w:szCs w:val="24"/>
        </w:rPr>
        <w:t xml:space="preserve"> </w:t>
      </w:r>
      <w:proofErr w:type="spellStart"/>
      <w:r w:rsidRPr="00691DF9">
        <w:rPr>
          <w:rFonts w:ascii="Garamond" w:hAnsi="Garamond"/>
          <w:sz w:val="24"/>
          <w:szCs w:val="24"/>
        </w:rPr>
        <w:t>Tahdhīb</w:t>
      </w:r>
      <w:proofErr w:type="spellEnd"/>
      <w:r w:rsidRPr="00691DF9">
        <w:rPr>
          <w:rFonts w:ascii="Garamond" w:hAnsi="Garamond"/>
          <w:sz w:val="24"/>
          <w:szCs w:val="24"/>
        </w:rPr>
        <w:t xml:space="preserve"> al-</w:t>
      </w:r>
      <w:proofErr w:type="spellStart"/>
      <w:r w:rsidRPr="00691DF9">
        <w:rPr>
          <w:rFonts w:ascii="Garamond" w:hAnsi="Garamond"/>
          <w:sz w:val="24"/>
          <w:szCs w:val="24"/>
        </w:rPr>
        <w:t>Akhlāq</w:t>
      </w:r>
      <w:proofErr w:type="spellEnd"/>
      <w:r w:rsidRPr="00691DF9">
        <w:rPr>
          <w:rFonts w:ascii="Garamond" w:hAnsi="Garamond"/>
          <w:sz w:val="24"/>
          <w:szCs w:val="24"/>
        </w:rPr>
        <w:t>, likewise examined their approaches to children’s moral education. The study highlighted the importance of habituation and the educator’s role in developing commendable conduct. Such approaches suggest that ethical understanding becomes educationally meaningful when learners have opportunities to practice virtuous behavior and receive appropriate guidance. In this respect, moral education requires both an understanding of ethical principles and sustained efforts to translate them into everyday conduct.</w:t>
      </w:r>
    </w:p>
    <w:p w14:paraId="4D822190"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The comparison also has implications for how Islamic ethics can be understood in educational practice. Rational reflection may help learners understand why certain actions are morally appropriate, while habituation can support the development of consistent behavior. Spiritual cultivation, meanwhile, situates moral conduct within a broader religious orientation. These dimensions can be examined together without erasing the distinctive emphases of each scholar. For Islamic Religious Education (IRE), the comparison offers a conceptual basis for integrating moral reasoning, religious reflection, and practical character formation rather than relying exclusively on memorization or the transmission of moral prescriptions.</w:t>
      </w:r>
    </w:p>
    <w:p w14:paraId="144E7D83" w14:textId="4422DD73" w:rsidR="001C1B50" w:rsidRPr="00691DF9" w:rsidRDefault="001C1B50" w:rsidP="004A2F7E">
      <w:pPr>
        <w:pStyle w:val="NoSpacing"/>
        <w:numPr>
          <w:ilvl w:val="0"/>
          <w:numId w:val="2"/>
        </w:numPr>
        <w:spacing w:line="276" w:lineRule="auto"/>
        <w:ind w:left="357" w:hanging="357"/>
        <w:jc w:val="both"/>
        <w:rPr>
          <w:rFonts w:ascii="Garamond" w:hAnsi="Garamond"/>
          <w:b/>
          <w:bCs/>
          <w:sz w:val="24"/>
          <w:szCs w:val="24"/>
        </w:rPr>
      </w:pPr>
      <w:r w:rsidRPr="00691DF9">
        <w:rPr>
          <w:rFonts w:ascii="Garamond" w:hAnsi="Garamond"/>
          <w:b/>
          <w:bCs/>
          <w:sz w:val="24"/>
          <w:szCs w:val="24"/>
        </w:rPr>
        <w:t>The Development and Reinterpretation of Islamic Ethical Thought in Contemporary Muslim Scholarship</w:t>
      </w:r>
    </w:p>
    <w:p w14:paraId="2231C928"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Contemporary Muslim scholarship has revisited classical ethical ideas in response to changing educational environments and emerging social challenges. Rather than treating classical thought solely as a historical inheritance, some studies have explored its potential relevance to contemporary learners and institutions. </w:t>
      </w:r>
      <w:proofErr w:type="spellStart"/>
      <w:r w:rsidRPr="00691DF9">
        <w:rPr>
          <w:rFonts w:ascii="Garamond" w:hAnsi="Garamond"/>
          <w:sz w:val="24"/>
          <w:szCs w:val="24"/>
        </w:rPr>
        <w:t>Martasila</w:t>
      </w:r>
      <w:proofErr w:type="spellEnd"/>
      <w:r w:rsidRPr="00691DF9">
        <w:rPr>
          <w:rFonts w:ascii="Garamond" w:hAnsi="Garamond"/>
          <w:sz w:val="24"/>
          <w:szCs w:val="24"/>
        </w:rPr>
        <w:t xml:space="preserve"> and Abidin (2025), for example, examined Al-Ghazali’s concept of Islamic education in relation to the character formation of Generation Z in the digital era. Their focus illustrates how classical educational thought can be reconsidered in relation to the circumstances of a generation whose learning and social interactions increasingly involve digital technologies.</w:t>
      </w:r>
    </w:p>
    <w:p w14:paraId="6AFED0B5" w14:textId="77777777" w:rsidR="001C1B50" w:rsidRPr="00691DF9" w:rsidRDefault="001C1B50" w:rsidP="00691DF9">
      <w:pPr>
        <w:pStyle w:val="NoSpacing"/>
        <w:spacing w:line="276" w:lineRule="auto"/>
        <w:ind w:firstLine="567"/>
        <w:jc w:val="both"/>
        <w:rPr>
          <w:rFonts w:ascii="Garamond" w:hAnsi="Garamond"/>
          <w:sz w:val="24"/>
          <w:szCs w:val="24"/>
        </w:rPr>
      </w:pPr>
      <w:proofErr w:type="spellStart"/>
      <w:r w:rsidRPr="00691DF9">
        <w:rPr>
          <w:rFonts w:ascii="Garamond" w:hAnsi="Garamond"/>
          <w:sz w:val="24"/>
          <w:szCs w:val="24"/>
        </w:rPr>
        <w:t>Fathoni</w:t>
      </w:r>
      <w:proofErr w:type="spellEnd"/>
      <w:r w:rsidRPr="00691DF9">
        <w:rPr>
          <w:rFonts w:ascii="Garamond" w:hAnsi="Garamond"/>
          <w:sz w:val="24"/>
          <w:szCs w:val="24"/>
        </w:rPr>
        <w:t xml:space="preserve"> et al. (2026) further developed this discussion by reconstructing Al-Ghazali’s character education through a framework involving family, school, and community. Their analysis identified habituation (</w:t>
      </w:r>
      <w:proofErr w:type="spellStart"/>
      <w:r w:rsidRPr="00691DF9">
        <w:rPr>
          <w:rFonts w:ascii="Garamond" w:hAnsi="Garamond"/>
          <w:sz w:val="24"/>
          <w:szCs w:val="24"/>
        </w:rPr>
        <w:t>ta</w:t>
      </w:r>
      <w:r w:rsidRPr="00691DF9">
        <w:rPr>
          <w:rFonts w:ascii="Times New Roman" w:hAnsi="Times New Roman" w:cs="Times New Roman"/>
          <w:sz w:val="24"/>
          <w:szCs w:val="24"/>
        </w:rPr>
        <w:t>ʿ</w:t>
      </w:r>
      <w:r w:rsidRPr="00691DF9">
        <w:rPr>
          <w:rFonts w:ascii="Garamond" w:hAnsi="Garamond"/>
          <w:sz w:val="24"/>
          <w:szCs w:val="24"/>
        </w:rPr>
        <w:t>w</w:t>
      </w:r>
      <w:r w:rsidRPr="00691DF9">
        <w:rPr>
          <w:rFonts w:ascii="Garamond" w:hAnsi="Garamond" w:cs="Garamond"/>
          <w:sz w:val="24"/>
          <w:szCs w:val="24"/>
        </w:rPr>
        <w:t>ī</w:t>
      </w:r>
      <w:r w:rsidRPr="00691DF9">
        <w:rPr>
          <w:rFonts w:ascii="Garamond" w:hAnsi="Garamond"/>
          <w:sz w:val="24"/>
          <w:szCs w:val="24"/>
        </w:rPr>
        <w:t>d</w:t>
      </w:r>
      <w:proofErr w:type="spellEnd"/>
      <w:r w:rsidRPr="00691DF9">
        <w:rPr>
          <w:rFonts w:ascii="Garamond" w:hAnsi="Garamond"/>
          <w:sz w:val="24"/>
          <w:szCs w:val="24"/>
        </w:rPr>
        <w:t>), exemplary conduct (</w:t>
      </w:r>
      <w:proofErr w:type="spellStart"/>
      <w:r w:rsidRPr="00691DF9">
        <w:rPr>
          <w:rFonts w:ascii="Garamond" w:hAnsi="Garamond"/>
          <w:sz w:val="24"/>
          <w:szCs w:val="24"/>
        </w:rPr>
        <w:t>uswah</w:t>
      </w:r>
      <w:proofErr w:type="spellEnd"/>
      <w:r w:rsidRPr="00691DF9">
        <w:rPr>
          <w:rFonts w:ascii="Garamond" w:hAnsi="Garamond"/>
          <w:sz w:val="24"/>
          <w:szCs w:val="24"/>
        </w:rPr>
        <w:t>), and spiritual struggle (</w:t>
      </w:r>
      <w:proofErr w:type="spellStart"/>
      <w:r w:rsidRPr="00691DF9">
        <w:rPr>
          <w:rFonts w:ascii="Garamond" w:hAnsi="Garamond"/>
          <w:sz w:val="24"/>
          <w:szCs w:val="24"/>
        </w:rPr>
        <w:t>muj</w:t>
      </w:r>
      <w:r w:rsidRPr="00691DF9">
        <w:rPr>
          <w:rFonts w:ascii="Garamond" w:hAnsi="Garamond" w:cs="Garamond"/>
          <w:sz w:val="24"/>
          <w:szCs w:val="24"/>
        </w:rPr>
        <w:t>ā</w:t>
      </w:r>
      <w:r w:rsidRPr="00691DF9">
        <w:rPr>
          <w:rFonts w:ascii="Garamond" w:hAnsi="Garamond"/>
          <w:sz w:val="24"/>
          <w:szCs w:val="24"/>
        </w:rPr>
        <w:t>hadah</w:t>
      </w:r>
      <w:proofErr w:type="spellEnd"/>
      <w:r w:rsidRPr="00691DF9">
        <w:rPr>
          <w:rFonts w:ascii="Garamond" w:hAnsi="Garamond"/>
          <w:sz w:val="24"/>
          <w:szCs w:val="24"/>
        </w:rPr>
        <w:t xml:space="preserve">) as important educational methods, alongside the values of </w:t>
      </w:r>
      <w:proofErr w:type="spellStart"/>
      <w:r w:rsidRPr="00691DF9">
        <w:rPr>
          <w:rFonts w:ascii="Garamond" w:hAnsi="Garamond"/>
          <w:sz w:val="24"/>
          <w:szCs w:val="24"/>
        </w:rPr>
        <w:t>adab</w:t>
      </w:r>
      <w:proofErr w:type="spellEnd"/>
      <w:r w:rsidRPr="00691DF9">
        <w:rPr>
          <w:rFonts w:ascii="Garamond" w:hAnsi="Garamond"/>
          <w:sz w:val="24"/>
          <w:szCs w:val="24"/>
        </w:rPr>
        <w:t xml:space="preserve"> and </w:t>
      </w:r>
      <w:proofErr w:type="spellStart"/>
      <w:r w:rsidRPr="00691DF9">
        <w:rPr>
          <w:rFonts w:ascii="Garamond" w:hAnsi="Garamond"/>
          <w:sz w:val="24"/>
          <w:szCs w:val="24"/>
        </w:rPr>
        <w:t>amanah</w:t>
      </w:r>
      <w:proofErr w:type="spellEnd"/>
      <w:r w:rsidRPr="00691DF9">
        <w:rPr>
          <w:rFonts w:ascii="Garamond" w:hAnsi="Garamond"/>
          <w:sz w:val="24"/>
          <w:szCs w:val="24"/>
        </w:rPr>
        <w:t>. This framework highlights the importance of understanding moral development as a process shaped by multiple educational environments rather than by classroom instruction alone. It also suggests that the effectiveness of ethical education depends on the consistency between the values taught and the conduct demonstrated in learners’ everyday surroundings.</w:t>
      </w:r>
    </w:p>
    <w:p w14:paraId="4C998D0A"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Other contemporary studies emphasize the practical implications of Islamic ethical principles for character development. </w:t>
      </w:r>
      <w:proofErr w:type="spellStart"/>
      <w:r w:rsidRPr="00691DF9">
        <w:rPr>
          <w:rFonts w:ascii="Garamond" w:hAnsi="Garamond"/>
          <w:sz w:val="24"/>
          <w:szCs w:val="24"/>
        </w:rPr>
        <w:t>Mawardi</w:t>
      </w:r>
      <w:proofErr w:type="spellEnd"/>
      <w:r w:rsidRPr="00691DF9">
        <w:rPr>
          <w:rFonts w:ascii="Garamond" w:hAnsi="Garamond"/>
          <w:sz w:val="24"/>
          <w:szCs w:val="24"/>
        </w:rPr>
        <w:t xml:space="preserve"> et al. (2021) identified instructional innovation, role modeling, habituation, reinforcement, and assessment as strategies for strengthening Islamic-value-based character education in online learning. Similarly, </w:t>
      </w:r>
      <w:proofErr w:type="spellStart"/>
      <w:r w:rsidRPr="00691DF9">
        <w:rPr>
          <w:rFonts w:ascii="Garamond" w:hAnsi="Garamond"/>
          <w:sz w:val="24"/>
          <w:szCs w:val="24"/>
        </w:rPr>
        <w:t>Sudarmi</w:t>
      </w:r>
      <w:proofErr w:type="spellEnd"/>
      <w:r w:rsidRPr="00691DF9">
        <w:rPr>
          <w:rFonts w:ascii="Garamond" w:hAnsi="Garamond"/>
          <w:sz w:val="24"/>
          <w:szCs w:val="24"/>
        </w:rPr>
        <w:t xml:space="preserve"> and Yusuf (2022) explored a learning model that connected Islamic education and character formation with emotional intelligence. These studies address different educational settings, but both indicate that moral development </w:t>
      </w:r>
      <w:r w:rsidRPr="00691DF9">
        <w:rPr>
          <w:rFonts w:ascii="Garamond" w:hAnsi="Garamond"/>
          <w:sz w:val="24"/>
          <w:szCs w:val="24"/>
        </w:rPr>
        <w:lastRenderedPageBreak/>
        <w:t>requires pedagogical strategies that connect religious values with learners’ experiences and behavior.</w:t>
      </w:r>
    </w:p>
    <w:p w14:paraId="39C49804"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Contemporary reinterpretation is also visible in studies of digital ethics and religious moderation. </w:t>
      </w:r>
      <w:proofErr w:type="spellStart"/>
      <w:r w:rsidRPr="00691DF9">
        <w:rPr>
          <w:rFonts w:ascii="Garamond" w:hAnsi="Garamond"/>
          <w:sz w:val="24"/>
          <w:szCs w:val="24"/>
        </w:rPr>
        <w:t>Dimyathi</w:t>
      </w:r>
      <w:proofErr w:type="spellEnd"/>
      <w:r w:rsidRPr="00691DF9">
        <w:rPr>
          <w:rFonts w:ascii="Garamond" w:hAnsi="Garamond"/>
          <w:sz w:val="24"/>
          <w:szCs w:val="24"/>
        </w:rPr>
        <w:t xml:space="preserve"> et al. (2025) discussed Islamic character education in the digital era, while </w:t>
      </w:r>
      <w:proofErr w:type="spellStart"/>
      <w:r w:rsidRPr="00691DF9">
        <w:rPr>
          <w:rFonts w:ascii="Garamond" w:hAnsi="Garamond"/>
          <w:sz w:val="24"/>
          <w:szCs w:val="24"/>
        </w:rPr>
        <w:t>Hilmi</w:t>
      </w:r>
      <w:proofErr w:type="spellEnd"/>
      <w:r w:rsidRPr="00691DF9">
        <w:rPr>
          <w:rFonts w:ascii="Garamond" w:hAnsi="Garamond"/>
          <w:sz w:val="24"/>
          <w:szCs w:val="24"/>
        </w:rPr>
        <w:t xml:space="preserve"> et al. (2023) examined Islamic character education as a means of developing religious moderation in a vocational school context. These studies indicate that contemporary ethical education must address not only individual conduct but also the capacity to engage responsibly with others in socially diverse environments. Nevertheless, these educational applications should not automatically be interpreted as evidence that classical ethical concepts themselves have changed. A more precise interpretation distinguishes the enduring ethical principles under discussion from the pedagogical strategies used to apply them in new circumstances.</w:t>
      </w:r>
    </w:p>
    <w:p w14:paraId="4608B40F" w14:textId="101ED844" w:rsidR="001C1B50" w:rsidRPr="00691DF9" w:rsidRDefault="001C1B50" w:rsidP="004A2F7E">
      <w:pPr>
        <w:pStyle w:val="NoSpacing"/>
        <w:numPr>
          <w:ilvl w:val="0"/>
          <w:numId w:val="2"/>
        </w:numPr>
        <w:spacing w:line="276" w:lineRule="auto"/>
        <w:ind w:left="357" w:hanging="357"/>
        <w:jc w:val="both"/>
        <w:rPr>
          <w:rFonts w:ascii="Garamond" w:hAnsi="Garamond"/>
          <w:b/>
          <w:bCs/>
          <w:sz w:val="24"/>
          <w:szCs w:val="24"/>
        </w:rPr>
      </w:pPr>
      <w:r w:rsidRPr="00691DF9">
        <w:rPr>
          <w:rFonts w:ascii="Garamond" w:hAnsi="Garamond"/>
          <w:b/>
          <w:bCs/>
          <w:sz w:val="24"/>
          <w:szCs w:val="24"/>
        </w:rPr>
        <w:t>The Continuity and Transformation of Islamic Ethical Principles Across Historical Periods</w:t>
      </w:r>
    </w:p>
    <w:p w14:paraId="56F07EC9"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The relationship between classical and contemporary Islamic ethical thought can be understood through the interaction of continuity and transformation. Continuity is reflected in the sustained importance of moral character, religious responsibility, virtuous conduct, and the relationship between individual development and social well-being. </w:t>
      </w:r>
      <w:proofErr w:type="spellStart"/>
      <w:r w:rsidRPr="00691DF9">
        <w:rPr>
          <w:rFonts w:ascii="Garamond" w:hAnsi="Garamond"/>
          <w:sz w:val="24"/>
          <w:szCs w:val="24"/>
        </w:rPr>
        <w:t>Muhsi</w:t>
      </w:r>
      <w:proofErr w:type="spellEnd"/>
      <w:r w:rsidRPr="00691DF9">
        <w:rPr>
          <w:rFonts w:ascii="Garamond" w:hAnsi="Garamond"/>
          <w:sz w:val="24"/>
          <w:szCs w:val="24"/>
        </w:rPr>
        <w:t xml:space="preserve"> and </w:t>
      </w:r>
      <w:proofErr w:type="spellStart"/>
      <w:r w:rsidRPr="00691DF9">
        <w:rPr>
          <w:rFonts w:ascii="Garamond" w:hAnsi="Garamond"/>
          <w:sz w:val="24"/>
          <w:szCs w:val="24"/>
        </w:rPr>
        <w:t>Nadlif</w:t>
      </w:r>
      <w:proofErr w:type="spellEnd"/>
      <w:r w:rsidRPr="00691DF9">
        <w:rPr>
          <w:rFonts w:ascii="Garamond" w:hAnsi="Garamond"/>
          <w:sz w:val="24"/>
          <w:szCs w:val="24"/>
        </w:rPr>
        <w:t xml:space="preserve"> (2021) connected Al-Ghazali’s moral thought with contemporary Islamic education, while </w:t>
      </w:r>
      <w:proofErr w:type="spellStart"/>
      <w:r w:rsidRPr="00691DF9">
        <w:rPr>
          <w:rFonts w:ascii="Garamond" w:hAnsi="Garamond"/>
          <w:sz w:val="24"/>
          <w:szCs w:val="24"/>
        </w:rPr>
        <w:t>Mukhlis</w:t>
      </w:r>
      <w:proofErr w:type="spellEnd"/>
      <w:r w:rsidRPr="00691DF9">
        <w:rPr>
          <w:rFonts w:ascii="Garamond" w:hAnsi="Garamond"/>
          <w:sz w:val="24"/>
          <w:szCs w:val="24"/>
        </w:rPr>
        <w:t xml:space="preserve"> et al. (2024) emphasized the relationship between Islamic educational objectives, moral formation, and positive social contributions. These perspectives suggest that ethical development remains central to the educational purposes of Islam, even when the contexts in which education takes place change.</w:t>
      </w:r>
    </w:p>
    <w:p w14:paraId="633CCEF7"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Transformation, however, becomes apparent in the ways ethical principles are interpreted and implemented. Classical discussions of virtue, habituation, and spiritual cultivation are increasingly considered alongside contemporary concerns such as online learning, digital behavior, and institutional collaboration. </w:t>
      </w:r>
      <w:proofErr w:type="spellStart"/>
      <w:r w:rsidRPr="00691DF9">
        <w:rPr>
          <w:rFonts w:ascii="Garamond" w:hAnsi="Garamond"/>
          <w:sz w:val="24"/>
          <w:szCs w:val="24"/>
        </w:rPr>
        <w:t>Mawardi</w:t>
      </w:r>
      <w:proofErr w:type="spellEnd"/>
      <w:r w:rsidRPr="00691DF9">
        <w:rPr>
          <w:rFonts w:ascii="Garamond" w:hAnsi="Garamond"/>
          <w:sz w:val="24"/>
          <w:szCs w:val="24"/>
        </w:rPr>
        <w:t xml:space="preserve"> et al. (2021) examined character education in online learning, whereas </w:t>
      </w:r>
      <w:proofErr w:type="spellStart"/>
      <w:r w:rsidRPr="00691DF9">
        <w:rPr>
          <w:rFonts w:ascii="Garamond" w:hAnsi="Garamond"/>
          <w:sz w:val="24"/>
          <w:szCs w:val="24"/>
        </w:rPr>
        <w:t>Martasila</w:t>
      </w:r>
      <w:proofErr w:type="spellEnd"/>
      <w:r w:rsidRPr="00691DF9">
        <w:rPr>
          <w:rFonts w:ascii="Garamond" w:hAnsi="Garamond"/>
          <w:sz w:val="24"/>
          <w:szCs w:val="24"/>
        </w:rPr>
        <w:t xml:space="preserve"> and Abidin (2025) considered the relevance of Al-Ghazali’s educational thought to Generation Z. </w:t>
      </w:r>
      <w:proofErr w:type="spellStart"/>
      <w:r w:rsidRPr="00691DF9">
        <w:rPr>
          <w:rFonts w:ascii="Garamond" w:hAnsi="Garamond"/>
          <w:sz w:val="24"/>
          <w:szCs w:val="24"/>
        </w:rPr>
        <w:t>Fathoni</w:t>
      </w:r>
      <w:proofErr w:type="spellEnd"/>
      <w:r w:rsidRPr="00691DF9">
        <w:rPr>
          <w:rFonts w:ascii="Garamond" w:hAnsi="Garamond"/>
          <w:sz w:val="24"/>
          <w:szCs w:val="24"/>
        </w:rPr>
        <w:t xml:space="preserve"> et al. (2026) extended the discussion by examining the contribution of family, school, and community to character formation. These studies demonstrate that contemporary applications of Islamic ethics must account for changes in educational settings and social relationships.</w:t>
      </w:r>
    </w:p>
    <w:p w14:paraId="2EDCD3CA"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The distinction between continuity and transformation is important because adapting ethical education to new contexts does not necessarily require abandoning its classical foundations. Instead, it requires careful consideration of how established moral principles can guide responses to contemporary problems. For instance, exemplary conduct remains relevant, but educators may need to consider how role modeling operates in face-to-face and digital environments. Similarly, habituation remains an important educational concept, while its implementation may require coordination between formal instruction, family practices, and wider social environments.</w:t>
      </w:r>
    </w:p>
    <w:p w14:paraId="68B5C219"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The literature also indicates that the relationship between ethical principles and educational outcomes requires further conceptual clarification. </w:t>
      </w:r>
      <w:proofErr w:type="spellStart"/>
      <w:r w:rsidRPr="00691DF9">
        <w:rPr>
          <w:rFonts w:ascii="Garamond" w:hAnsi="Garamond"/>
          <w:sz w:val="24"/>
          <w:szCs w:val="24"/>
        </w:rPr>
        <w:t>Sitompul</w:t>
      </w:r>
      <w:proofErr w:type="spellEnd"/>
      <w:r w:rsidRPr="00691DF9">
        <w:rPr>
          <w:rFonts w:ascii="Garamond" w:hAnsi="Garamond"/>
          <w:sz w:val="24"/>
          <w:szCs w:val="24"/>
        </w:rPr>
        <w:t xml:space="preserve"> et al. (2023) discussed the role of IRE teachers in shaping students’ character and morals, while Aditya Maulana and </w:t>
      </w:r>
      <w:proofErr w:type="spellStart"/>
      <w:r w:rsidRPr="00691DF9">
        <w:rPr>
          <w:rFonts w:ascii="Garamond" w:hAnsi="Garamond"/>
          <w:sz w:val="24"/>
          <w:szCs w:val="24"/>
        </w:rPr>
        <w:t>Purba</w:t>
      </w:r>
      <w:proofErr w:type="spellEnd"/>
      <w:r w:rsidRPr="00691DF9">
        <w:rPr>
          <w:rFonts w:ascii="Garamond" w:hAnsi="Garamond"/>
          <w:sz w:val="24"/>
          <w:szCs w:val="24"/>
        </w:rPr>
        <w:t xml:space="preserve"> (2024) examined character formation through Islamic Religious Education. These studies reinforce the importance of educational practice but do not, by themselves, establish a direct historical progression from classical to contemporary ethical thought. Therefore, the development of Islamic ethics should be understood as an interpretive relationship between inherited intellectual </w:t>
      </w:r>
      <w:r w:rsidRPr="00691DF9">
        <w:rPr>
          <w:rFonts w:ascii="Garamond" w:hAnsi="Garamond"/>
          <w:sz w:val="24"/>
          <w:szCs w:val="24"/>
        </w:rPr>
        <w:lastRenderedPageBreak/>
        <w:t>foundations and changing educational needs, rather than as a simple linear transition from classical to modern perspectives.</w:t>
      </w:r>
    </w:p>
    <w:p w14:paraId="1FE4317E"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Overall, the literature reviewed in this section indicates that classical Muslim scholars provide important foundations for understanding virtue, habituation, rational reflection, and spiritual cultivation, while contemporary scholarship examines how these ideas can inform education under changing social and technological conditions. The central analytical task is consequently to distinguish the ethical principles that remain influential from the interpretations and educational practices that have developed in response to contemporary circumstances. This distinction provides the basis for the next stage of the discussion, which examines the similarities and differences between classical and contemporary Muslim ethical thought and considers their implications for strengthening Islamic Religious Education.</w:t>
      </w:r>
    </w:p>
    <w:p w14:paraId="6517F6AF" w14:textId="6AC3E9E7" w:rsidR="001C1B50" w:rsidRPr="00691DF9" w:rsidRDefault="001C1B50" w:rsidP="004A2F7E">
      <w:pPr>
        <w:pStyle w:val="NoSpacing"/>
        <w:numPr>
          <w:ilvl w:val="0"/>
          <w:numId w:val="1"/>
        </w:numPr>
        <w:spacing w:line="276" w:lineRule="auto"/>
        <w:ind w:left="357" w:hanging="357"/>
        <w:jc w:val="both"/>
        <w:rPr>
          <w:rFonts w:ascii="Garamond" w:hAnsi="Garamond"/>
          <w:b/>
          <w:bCs/>
          <w:sz w:val="24"/>
          <w:szCs w:val="24"/>
        </w:rPr>
      </w:pPr>
      <w:r w:rsidRPr="00691DF9">
        <w:rPr>
          <w:rFonts w:ascii="Garamond" w:hAnsi="Garamond"/>
          <w:b/>
          <w:bCs/>
          <w:sz w:val="24"/>
          <w:szCs w:val="24"/>
        </w:rPr>
        <w:t>Similarities and Differences Between Classical and Contemporary Muslim Ethical Thought</w:t>
      </w:r>
    </w:p>
    <w:p w14:paraId="635F83D8"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The relationship between classical and contemporary Muslim ethical thought can be understood through two interconnected dimensions: continuity in foundational moral principles and differences in the approaches used to cultivate ethical character. Classical Muslim scholars emphasized the formation of virtuous character through religious commitment, rational reflection, spiritual purification, and the cultivation of good habits. Contemporary scholarship continues to draw on these foundations while examining how they can be applied within modern educational institutions, family environments, communities, and digital spaces. Studies comparing Ibn </w:t>
      </w:r>
      <w:proofErr w:type="spellStart"/>
      <w:r w:rsidRPr="00691DF9">
        <w:rPr>
          <w:rFonts w:ascii="Garamond" w:hAnsi="Garamond"/>
          <w:sz w:val="24"/>
          <w:szCs w:val="24"/>
        </w:rPr>
        <w:t>Miskawayh</w:t>
      </w:r>
      <w:proofErr w:type="spellEnd"/>
      <w:r w:rsidRPr="00691DF9">
        <w:rPr>
          <w:rFonts w:ascii="Garamond" w:hAnsi="Garamond"/>
          <w:sz w:val="24"/>
          <w:szCs w:val="24"/>
        </w:rPr>
        <w:t xml:space="preserve"> and Al-Ghazali, for example, identify both shared commitments to moral formation and differences in their respective emphases on rationality, habituation, and spirituality (</w:t>
      </w:r>
      <w:proofErr w:type="spellStart"/>
      <w:r w:rsidRPr="00691DF9">
        <w:rPr>
          <w:rFonts w:ascii="Garamond" w:hAnsi="Garamond"/>
          <w:sz w:val="24"/>
          <w:szCs w:val="24"/>
        </w:rPr>
        <w:t>Faizin</w:t>
      </w:r>
      <w:proofErr w:type="spellEnd"/>
      <w:r w:rsidRPr="00691DF9">
        <w:rPr>
          <w:rFonts w:ascii="Garamond" w:hAnsi="Garamond"/>
          <w:sz w:val="24"/>
          <w:szCs w:val="24"/>
        </w:rPr>
        <w:t xml:space="preserve">, 2025; </w:t>
      </w:r>
      <w:proofErr w:type="spellStart"/>
      <w:r w:rsidRPr="00691DF9">
        <w:rPr>
          <w:rFonts w:ascii="Garamond" w:hAnsi="Garamond"/>
          <w:sz w:val="24"/>
          <w:szCs w:val="24"/>
        </w:rPr>
        <w:t>Hermawan</w:t>
      </w:r>
      <w:proofErr w:type="spellEnd"/>
      <w:r w:rsidRPr="00691DF9">
        <w:rPr>
          <w:rFonts w:ascii="Garamond" w:hAnsi="Garamond"/>
          <w:sz w:val="24"/>
          <w:szCs w:val="24"/>
        </w:rPr>
        <w:t xml:space="preserve"> &amp; </w:t>
      </w:r>
      <w:proofErr w:type="spellStart"/>
      <w:r w:rsidRPr="00691DF9">
        <w:rPr>
          <w:rFonts w:ascii="Garamond" w:hAnsi="Garamond"/>
          <w:sz w:val="24"/>
          <w:szCs w:val="24"/>
        </w:rPr>
        <w:t>Sudin</w:t>
      </w:r>
      <w:proofErr w:type="spellEnd"/>
      <w:r w:rsidRPr="00691DF9">
        <w:rPr>
          <w:rFonts w:ascii="Garamond" w:hAnsi="Garamond"/>
          <w:sz w:val="24"/>
          <w:szCs w:val="24"/>
        </w:rPr>
        <w:t>, 2025). Contemporary studies further demonstrate that Islamic ethical education is being discussed in relation to character development, religious moderation, social responsibility, and emerging technological challenges (</w:t>
      </w:r>
      <w:proofErr w:type="spellStart"/>
      <w:r w:rsidRPr="00691DF9">
        <w:rPr>
          <w:rFonts w:ascii="Garamond" w:hAnsi="Garamond"/>
          <w:sz w:val="24"/>
          <w:szCs w:val="24"/>
        </w:rPr>
        <w:t>Hilmi</w:t>
      </w:r>
      <w:proofErr w:type="spellEnd"/>
      <w:r w:rsidRPr="00691DF9">
        <w:rPr>
          <w:rFonts w:ascii="Garamond" w:hAnsi="Garamond"/>
          <w:sz w:val="24"/>
          <w:szCs w:val="24"/>
        </w:rPr>
        <w:t xml:space="preserve"> et al., 2023; </w:t>
      </w:r>
      <w:proofErr w:type="spellStart"/>
      <w:r w:rsidRPr="00691DF9">
        <w:rPr>
          <w:rFonts w:ascii="Garamond" w:hAnsi="Garamond"/>
          <w:sz w:val="24"/>
          <w:szCs w:val="24"/>
        </w:rPr>
        <w:t>Martasila</w:t>
      </w:r>
      <w:proofErr w:type="spellEnd"/>
      <w:r w:rsidRPr="00691DF9">
        <w:rPr>
          <w:rFonts w:ascii="Garamond" w:hAnsi="Garamond"/>
          <w:sz w:val="24"/>
          <w:szCs w:val="24"/>
        </w:rPr>
        <w:t xml:space="preserve"> &amp; Abidin, 2025; Setiawan et al., 2025). Thus, the comparison should not be interpreted as a complete separation between classical and contemporary thought, but as an ongoing dialogue between enduring ethical principles and changing contexts of moral education.</w:t>
      </w:r>
    </w:p>
    <w:p w14:paraId="6251E15D" w14:textId="0971A1E2" w:rsidR="001C1B50" w:rsidRPr="00691DF9" w:rsidRDefault="001C1B50" w:rsidP="004A2F7E">
      <w:pPr>
        <w:pStyle w:val="NoSpacing"/>
        <w:numPr>
          <w:ilvl w:val="0"/>
          <w:numId w:val="3"/>
        </w:numPr>
        <w:spacing w:line="276" w:lineRule="auto"/>
        <w:ind w:left="357" w:hanging="357"/>
        <w:jc w:val="both"/>
        <w:rPr>
          <w:rFonts w:ascii="Garamond" w:hAnsi="Garamond"/>
          <w:b/>
          <w:bCs/>
          <w:sz w:val="24"/>
          <w:szCs w:val="24"/>
        </w:rPr>
      </w:pPr>
      <w:r w:rsidRPr="00691DF9">
        <w:rPr>
          <w:rFonts w:ascii="Garamond" w:hAnsi="Garamond"/>
          <w:b/>
          <w:bCs/>
          <w:sz w:val="24"/>
          <w:szCs w:val="24"/>
        </w:rPr>
        <w:t>Shared Foundations of Islamic Ethics in Religious Values and Moral Virtues</w:t>
      </w:r>
    </w:p>
    <w:p w14:paraId="7A3F9C33"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A fundamental similarity between classical and contemporary Muslim ethical thought lies in the understanding that moral development is closely connected to religious values and the cultivation of virtuous character. In the classical tradition, ethical education was not limited to teaching rules of conduct; it also involved developing dispositions that enabled individuals to act appropriately and responsibly. The comparative studies of Ibn </w:t>
      </w:r>
      <w:proofErr w:type="spellStart"/>
      <w:r w:rsidRPr="00691DF9">
        <w:rPr>
          <w:rFonts w:ascii="Garamond" w:hAnsi="Garamond"/>
          <w:sz w:val="24"/>
          <w:szCs w:val="24"/>
        </w:rPr>
        <w:t>Miskawayh</w:t>
      </w:r>
      <w:proofErr w:type="spellEnd"/>
      <w:r w:rsidRPr="00691DF9">
        <w:rPr>
          <w:rFonts w:ascii="Garamond" w:hAnsi="Garamond"/>
          <w:sz w:val="24"/>
          <w:szCs w:val="24"/>
        </w:rPr>
        <w:t xml:space="preserve"> and Al-Ghazali indicate that, despite differences in their philosophical and pedagogical emphases, both thinkers regarded moral formation as a central educational concern (</w:t>
      </w:r>
      <w:proofErr w:type="spellStart"/>
      <w:r w:rsidRPr="00691DF9">
        <w:rPr>
          <w:rFonts w:ascii="Garamond" w:hAnsi="Garamond"/>
          <w:sz w:val="24"/>
          <w:szCs w:val="24"/>
        </w:rPr>
        <w:t>Faizin</w:t>
      </w:r>
      <w:proofErr w:type="spellEnd"/>
      <w:r w:rsidRPr="00691DF9">
        <w:rPr>
          <w:rFonts w:ascii="Garamond" w:hAnsi="Garamond"/>
          <w:sz w:val="24"/>
          <w:szCs w:val="24"/>
        </w:rPr>
        <w:t xml:space="preserve">, 2025; </w:t>
      </w:r>
      <w:proofErr w:type="spellStart"/>
      <w:r w:rsidRPr="00691DF9">
        <w:rPr>
          <w:rFonts w:ascii="Garamond" w:hAnsi="Garamond"/>
          <w:sz w:val="24"/>
          <w:szCs w:val="24"/>
        </w:rPr>
        <w:t>Hermawan</w:t>
      </w:r>
      <w:proofErr w:type="spellEnd"/>
      <w:r w:rsidRPr="00691DF9">
        <w:rPr>
          <w:rFonts w:ascii="Garamond" w:hAnsi="Garamond"/>
          <w:sz w:val="24"/>
          <w:szCs w:val="24"/>
        </w:rPr>
        <w:t xml:space="preserve"> &amp; </w:t>
      </w:r>
      <w:proofErr w:type="spellStart"/>
      <w:r w:rsidRPr="00691DF9">
        <w:rPr>
          <w:rFonts w:ascii="Garamond" w:hAnsi="Garamond"/>
          <w:sz w:val="24"/>
          <w:szCs w:val="24"/>
        </w:rPr>
        <w:t>Sudin</w:t>
      </w:r>
      <w:proofErr w:type="spellEnd"/>
      <w:r w:rsidRPr="00691DF9">
        <w:rPr>
          <w:rFonts w:ascii="Garamond" w:hAnsi="Garamond"/>
          <w:sz w:val="24"/>
          <w:szCs w:val="24"/>
        </w:rPr>
        <w:t>, 2025). This shared orientation establishes a basis for understanding Islamic ethics as a process of cultivating character rather than merely transmitting moral knowledge.</w:t>
      </w:r>
    </w:p>
    <w:p w14:paraId="7558548C"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The educational objectives associated with Al-Ghazali’s thought also connect moral development with religious commitment and the broader purposes of human life. </w:t>
      </w:r>
      <w:proofErr w:type="spellStart"/>
      <w:r w:rsidRPr="00691DF9">
        <w:rPr>
          <w:rFonts w:ascii="Garamond" w:hAnsi="Garamond"/>
          <w:sz w:val="24"/>
          <w:szCs w:val="24"/>
        </w:rPr>
        <w:t>Muhsi</w:t>
      </w:r>
      <w:proofErr w:type="spellEnd"/>
      <w:r w:rsidRPr="00691DF9">
        <w:rPr>
          <w:rFonts w:ascii="Garamond" w:hAnsi="Garamond"/>
          <w:sz w:val="24"/>
          <w:szCs w:val="24"/>
        </w:rPr>
        <w:t xml:space="preserve"> and </w:t>
      </w:r>
      <w:proofErr w:type="spellStart"/>
      <w:r w:rsidRPr="00691DF9">
        <w:rPr>
          <w:rFonts w:ascii="Garamond" w:hAnsi="Garamond"/>
          <w:sz w:val="24"/>
          <w:szCs w:val="24"/>
        </w:rPr>
        <w:t>Nadlif</w:t>
      </w:r>
      <w:proofErr w:type="spellEnd"/>
      <w:r w:rsidRPr="00691DF9">
        <w:rPr>
          <w:rFonts w:ascii="Garamond" w:hAnsi="Garamond"/>
          <w:sz w:val="24"/>
          <w:szCs w:val="24"/>
        </w:rPr>
        <w:t xml:space="preserve"> (2021) examine moral education from Al-Ghazali’s perspective, while </w:t>
      </w:r>
      <w:proofErr w:type="spellStart"/>
      <w:r w:rsidRPr="00691DF9">
        <w:rPr>
          <w:rFonts w:ascii="Garamond" w:hAnsi="Garamond"/>
          <w:sz w:val="24"/>
          <w:szCs w:val="24"/>
        </w:rPr>
        <w:t>Mukhlis</w:t>
      </w:r>
      <w:proofErr w:type="spellEnd"/>
      <w:r w:rsidRPr="00691DF9">
        <w:rPr>
          <w:rFonts w:ascii="Garamond" w:hAnsi="Garamond"/>
          <w:sz w:val="24"/>
          <w:szCs w:val="24"/>
        </w:rPr>
        <w:t xml:space="preserve"> et al. (2024) discuss Islamic education in relation to worldly well-being, the hereafter, and the formation of morally responsible Muslim individuals. Taken together, these studies suggest that Islamic ethical education involves a relationship between personal virtue, religious orientation, and conduct that </w:t>
      </w:r>
      <w:r w:rsidRPr="00691DF9">
        <w:rPr>
          <w:rFonts w:ascii="Garamond" w:hAnsi="Garamond"/>
          <w:sz w:val="24"/>
          <w:szCs w:val="24"/>
        </w:rPr>
        <w:lastRenderedPageBreak/>
        <w:t>contributes positively to society. Moral education, therefore, encompasses both the development of the individual and the consequences of individual behavior for others.</w:t>
      </w:r>
    </w:p>
    <w:p w14:paraId="58B08129"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Contemporary research retains this emphasis on the relationship between Islamic values and character formation. </w:t>
      </w:r>
      <w:proofErr w:type="spellStart"/>
      <w:r w:rsidRPr="00691DF9">
        <w:rPr>
          <w:rFonts w:ascii="Garamond" w:hAnsi="Garamond"/>
          <w:sz w:val="24"/>
          <w:szCs w:val="24"/>
        </w:rPr>
        <w:t>Hilmi</w:t>
      </w:r>
      <w:proofErr w:type="spellEnd"/>
      <w:r w:rsidRPr="00691DF9">
        <w:rPr>
          <w:rFonts w:ascii="Garamond" w:hAnsi="Garamond"/>
          <w:sz w:val="24"/>
          <w:szCs w:val="24"/>
        </w:rPr>
        <w:t xml:space="preserve"> et al. (2023), for instance, examine Islamic character education in connection with the development of religious moderation, while </w:t>
      </w:r>
      <w:proofErr w:type="spellStart"/>
      <w:r w:rsidRPr="00691DF9">
        <w:rPr>
          <w:rFonts w:ascii="Garamond" w:hAnsi="Garamond"/>
          <w:sz w:val="24"/>
          <w:szCs w:val="24"/>
        </w:rPr>
        <w:t>Sitompul</w:t>
      </w:r>
      <w:proofErr w:type="spellEnd"/>
      <w:r w:rsidRPr="00691DF9">
        <w:rPr>
          <w:rFonts w:ascii="Garamond" w:hAnsi="Garamond"/>
          <w:sz w:val="24"/>
          <w:szCs w:val="24"/>
        </w:rPr>
        <w:t xml:space="preserve"> et al. (2023) discuss the role of Islamic Religious Education teachers in shaping students’ character and morals. These studies extend the discussion of ethical formation into educational practice, where religious values are expected to inform students’ behavior, relationships, and responses to social differences. The emphasis on religious moderation also illustrates that ethical character has a social dimension: religious commitment is educationally significant not only in personal worship but also in how individuals interact with people who hold different views or backgrounds.</w:t>
      </w:r>
    </w:p>
    <w:p w14:paraId="0657D6F1"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A further point of continuity is the view that moral education requires more than the acquisition of theoretical knowledge. Ethical values need to become part of individuals’ dispositions and everyday conduct. The comparative literature on Ibn </w:t>
      </w:r>
      <w:proofErr w:type="spellStart"/>
      <w:r w:rsidRPr="00691DF9">
        <w:rPr>
          <w:rFonts w:ascii="Garamond" w:hAnsi="Garamond"/>
          <w:sz w:val="24"/>
          <w:szCs w:val="24"/>
        </w:rPr>
        <w:t>Miskawayh</w:t>
      </w:r>
      <w:proofErr w:type="spellEnd"/>
      <w:r w:rsidRPr="00691DF9">
        <w:rPr>
          <w:rFonts w:ascii="Garamond" w:hAnsi="Garamond"/>
          <w:sz w:val="24"/>
          <w:szCs w:val="24"/>
        </w:rPr>
        <w:t xml:space="preserve"> and Al-Ghazali emphasizes the importance of guidance, habituation, and the cultivation of character, although the two scholars differ in the explanations and methods they prioritize (</w:t>
      </w:r>
      <w:proofErr w:type="spellStart"/>
      <w:r w:rsidRPr="00691DF9">
        <w:rPr>
          <w:rFonts w:ascii="Garamond" w:hAnsi="Garamond"/>
          <w:sz w:val="24"/>
          <w:szCs w:val="24"/>
        </w:rPr>
        <w:t>Faizin</w:t>
      </w:r>
      <w:proofErr w:type="spellEnd"/>
      <w:r w:rsidRPr="00691DF9">
        <w:rPr>
          <w:rFonts w:ascii="Garamond" w:hAnsi="Garamond"/>
          <w:sz w:val="24"/>
          <w:szCs w:val="24"/>
        </w:rPr>
        <w:t xml:space="preserve">, 2025; </w:t>
      </w:r>
      <w:proofErr w:type="spellStart"/>
      <w:r w:rsidRPr="00691DF9">
        <w:rPr>
          <w:rFonts w:ascii="Garamond" w:hAnsi="Garamond"/>
          <w:sz w:val="24"/>
          <w:szCs w:val="24"/>
        </w:rPr>
        <w:t>Hermawan</w:t>
      </w:r>
      <w:proofErr w:type="spellEnd"/>
      <w:r w:rsidRPr="00691DF9">
        <w:rPr>
          <w:rFonts w:ascii="Garamond" w:hAnsi="Garamond"/>
          <w:sz w:val="24"/>
          <w:szCs w:val="24"/>
        </w:rPr>
        <w:t xml:space="preserve"> &amp; </w:t>
      </w:r>
      <w:proofErr w:type="spellStart"/>
      <w:r w:rsidRPr="00691DF9">
        <w:rPr>
          <w:rFonts w:ascii="Garamond" w:hAnsi="Garamond"/>
          <w:sz w:val="24"/>
          <w:szCs w:val="24"/>
        </w:rPr>
        <w:t>Sudin</w:t>
      </w:r>
      <w:proofErr w:type="spellEnd"/>
      <w:r w:rsidRPr="00691DF9">
        <w:rPr>
          <w:rFonts w:ascii="Garamond" w:hAnsi="Garamond"/>
          <w:sz w:val="24"/>
          <w:szCs w:val="24"/>
        </w:rPr>
        <w:t xml:space="preserve">, 2025). Contemporary research on Islamic character education similarly addresses the implementation of values within educational institutions rather than treating moral instruction as an isolated intellectual activity (Kurniawan et al., 2022; </w:t>
      </w:r>
      <w:proofErr w:type="spellStart"/>
      <w:r w:rsidRPr="00691DF9">
        <w:rPr>
          <w:rFonts w:ascii="Garamond" w:hAnsi="Garamond"/>
          <w:sz w:val="24"/>
          <w:szCs w:val="24"/>
        </w:rPr>
        <w:t>Maslani</w:t>
      </w:r>
      <w:proofErr w:type="spellEnd"/>
      <w:r w:rsidRPr="00691DF9">
        <w:rPr>
          <w:rFonts w:ascii="Garamond" w:hAnsi="Garamond"/>
          <w:sz w:val="24"/>
          <w:szCs w:val="24"/>
        </w:rPr>
        <w:t xml:space="preserve"> et al., 2023).</w:t>
      </w:r>
    </w:p>
    <w:p w14:paraId="72DD953E"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The shared foundation between classical and contemporary approaches can consequently be summarized in three related commitments: the importance of religious values as a moral orientation, the development of virtuous character as an educational objective, and the translation of ethical understanding into responsible action. Nevertheless, this continuity does not mean that all scholars define virtues identically or employ the same pedagogical methods. Rather, it indicates that contemporary Islamic ethical education continues to engage with central concerns of the classical tradition while adapting their educational application to different institutional and social conditions.</w:t>
      </w:r>
    </w:p>
    <w:p w14:paraId="39B3667B" w14:textId="7448A5B4" w:rsidR="001C1B50" w:rsidRPr="00691DF9" w:rsidRDefault="001C1B50" w:rsidP="004A2F7E">
      <w:pPr>
        <w:pStyle w:val="NoSpacing"/>
        <w:numPr>
          <w:ilvl w:val="0"/>
          <w:numId w:val="3"/>
        </w:numPr>
        <w:spacing w:line="276" w:lineRule="auto"/>
        <w:ind w:left="357" w:hanging="357"/>
        <w:jc w:val="both"/>
        <w:rPr>
          <w:rFonts w:ascii="Garamond" w:hAnsi="Garamond"/>
          <w:b/>
          <w:bCs/>
          <w:sz w:val="24"/>
          <w:szCs w:val="24"/>
        </w:rPr>
      </w:pPr>
      <w:r w:rsidRPr="00691DF9">
        <w:rPr>
          <w:rFonts w:ascii="Garamond" w:hAnsi="Garamond"/>
          <w:b/>
          <w:bCs/>
          <w:sz w:val="24"/>
          <w:szCs w:val="24"/>
        </w:rPr>
        <w:t>Differences in Spiritual, Rational, and Social Approaches to Moral Formation</w:t>
      </w:r>
    </w:p>
    <w:p w14:paraId="326F595F"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Although classical and contemporary Muslim ethical thought share foundational commitments, they differ in the emphasis placed on the processes through which moral character is developed. Within classical scholarship, Ibn </w:t>
      </w:r>
      <w:proofErr w:type="spellStart"/>
      <w:r w:rsidRPr="00691DF9">
        <w:rPr>
          <w:rFonts w:ascii="Garamond" w:hAnsi="Garamond"/>
          <w:sz w:val="24"/>
          <w:szCs w:val="24"/>
        </w:rPr>
        <w:t>Miskawayh</w:t>
      </w:r>
      <w:proofErr w:type="spellEnd"/>
      <w:r w:rsidRPr="00691DF9">
        <w:rPr>
          <w:rFonts w:ascii="Garamond" w:hAnsi="Garamond"/>
          <w:sz w:val="24"/>
          <w:szCs w:val="24"/>
        </w:rPr>
        <w:t xml:space="preserve"> and Al-Ghazali provide complementary perspectives on ethical formation. Ibn </w:t>
      </w:r>
      <w:proofErr w:type="spellStart"/>
      <w:r w:rsidRPr="00691DF9">
        <w:rPr>
          <w:rFonts w:ascii="Garamond" w:hAnsi="Garamond"/>
          <w:sz w:val="24"/>
          <w:szCs w:val="24"/>
        </w:rPr>
        <w:t>Miskawayh</w:t>
      </w:r>
      <w:proofErr w:type="spellEnd"/>
      <w:r w:rsidRPr="00691DF9">
        <w:rPr>
          <w:rFonts w:ascii="Garamond" w:hAnsi="Garamond"/>
          <w:sz w:val="24"/>
          <w:szCs w:val="24"/>
        </w:rPr>
        <w:t xml:space="preserve"> is commonly associated in the comparative literature with rational reflection and the cultivation of character through habituation, whereas Al-Ghazali’s approach places stronger emphasis on spiritual purification, religious commitment, and the inner dimensions of moral conduct (</w:t>
      </w:r>
      <w:proofErr w:type="spellStart"/>
      <w:r w:rsidRPr="00691DF9">
        <w:rPr>
          <w:rFonts w:ascii="Garamond" w:hAnsi="Garamond"/>
          <w:sz w:val="24"/>
          <w:szCs w:val="24"/>
        </w:rPr>
        <w:t>Faizin</w:t>
      </w:r>
      <w:proofErr w:type="spellEnd"/>
      <w:r w:rsidRPr="00691DF9">
        <w:rPr>
          <w:rFonts w:ascii="Garamond" w:hAnsi="Garamond"/>
          <w:sz w:val="24"/>
          <w:szCs w:val="24"/>
        </w:rPr>
        <w:t xml:space="preserve">, 2025; </w:t>
      </w:r>
      <w:proofErr w:type="spellStart"/>
      <w:r w:rsidRPr="00691DF9">
        <w:rPr>
          <w:rFonts w:ascii="Garamond" w:hAnsi="Garamond"/>
          <w:sz w:val="24"/>
          <w:szCs w:val="24"/>
        </w:rPr>
        <w:t>Hermawan</w:t>
      </w:r>
      <w:proofErr w:type="spellEnd"/>
      <w:r w:rsidRPr="00691DF9">
        <w:rPr>
          <w:rFonts w:ascii="Garamond" w:hAnsi="Garamond"/>
          <w:sz w:val="24"/>
          <w:szCs w:val="24"/>
        </w:rPr>
        <w:t xml:space="preserve"> &amp; </w:t>
      </w:r>
      <w:proofErr w:type="spellStart"/>
      <w:r w:rsidRPr="00691DF9">
        <w:rPr>
          <w:rFonts w:ascii="Garamond" w:hAnsi="Garamond"/>
          <w:sz w:val="24"/>
          <w:szCs w:val="24"/>
        </w:rPr>
        <w:t>Sudin</w:t>
      </w:r>
      <w:proofErr w:type="spellEnd"/>
      <w:r w:rsidRPr="00691DF9">
        <w:rPr>
          <w:rFonts w:ascii="Garamond" w:hAnsi="Garamond"/>
          <w:sz w:val="24"/>
          <w:szCs w:val="24"/>
        </w:rPr>
        <w:t>, 2025). These differences represent distinct emphases within a shared concern for developing virtuous individuals rather than mutually exclusive understandings of Islamic ethics.</w:t>
      </w:r>
    </w:p>
    <w:p w14:paraId="74C45F6F"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The rational approach highlights the importance of understanding moral conduct and developing the capacity to distinguish appropriate from inappropriate behavior. From this perspective, ethical education should not depend exclusively on external instruction or obedience. Learners also need guidance that enables them to understand the reasons behind moral expectations and develop stable dispositions toward good conduct. The discussions of Ibn </w:t>
      </w:r>
      <w:proofErr w:type="spellStart"/>
      <w:r w:rsidRPr="00691DF9">
        <w:rPr>
          <w:rFonts w:ascii="Garamond" w:hAnsi="Garamond"/>
          <w:sz w:val="24"/>
          <w:szCs w:val="24"/>
        </w:rPr>
        <w:t>Miskawayh’s</w:t>
      </w:r>
      <w:proofErr w:type="spellEnd"/>
      <w:r w:rsidRPr="00691DF9">
        <w:rPr>
          <w:rFonts w:ascii="Garamond" w:hAnsi="Garamond"/>
          <w:sz w:val="24"/>
          <w:szCs w:val="24"/>
        </w:rPr>
        <w:t xml:space="preserve"> educational thought in </w:t>
      </w:r>
      <w:proofErr w:type="spellStart"/>
      <w:r w:rsidRPr="00691DF9">
        <w:rPr>
          <w:rFonts w:ascii="Garamond" w:hAnsi="Garamond"/>
          <w:sz w:val="24"/>
          <w:szCs w:val="24"/>
        </w:rPr>
        <w:t>Faizin</w:t>
      </w:r>
      <w:proofErr w:type="spellEnd"/>
      <w:r w:rsidRPr="00691DF9">
        <w:rPr>
          <w:rFonts w:ascii="Garamond" w:hAnsi="Garamond"/>
          <w:sz w:val="24"/>
          <w:szCs w:val="24"/>
        </w:rPr>
        <w:t xml:space="preserve"> (2025) and </w:t>
      </w:r>
      <w:proofErr w:type="spellStart"/>
      <w:r w:rsidRPr="00691DF9">
        <w:rPr>
          <w:rFonts w:ascii="Garamond" w:hAnsi="Garamond"/>
          <w:sz w:val="24"/>
          <w:szCs w:val="24"/>
        </w:rPr>
        <w:t>Hermawan</w:t>
      </w:r>
      <w:proofErr w:type="spellEnd"/>
      <w:r w:rsidRPr="00691DF9">
        <w:rPr>
          <w:rFonts w:ascii="Garamond" w:hAnsi="Garamond"/>
          <w:sz w:val="24"/>
          <w:szCs w:val="24"/>
        </w:rPr>
        <w:t xml:space="preserve"> and </w:t>
      </w:r>
      <w:proofErr w:type="spellStart"/>
      <w:r w:rsidRPr="00691DF9">
        <w:rPr>
          <w:rFonts w:ascii="Garamond" w:hAnsi="Garamond"/>
          <w:sz w:val="24"/>
          <w:szCs w:val="24"/>
        </w:rPr>
        <w:t>Sudin</w:t>
      </w:r>
      <w:proofErr w:type="spellEnd"/>
      <w:r w:rsidRPr="00691DF9">
        <w:rPr>
          <w:rFonts w:ascii="Garamond" w:hAnsi="Garamond"/>
          <w:sz w:val="24"/>
          <w:szCs w:val="24"/>
        </w:rPr>
        <w:t xml:space="preserve"> (2025) provide a basis for examining rational guidance and habituation as important dimensions of moral formation.</w:t>
      </w:r>
    </w:p>
    <w:p w14:paraId="2C8E21EE"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lastRenderedPageBreak/>
        <w:t xml:space="preserve">By contrast, the spiritual emphasis associated with Al-Ghazali foregrounds the relationship between outward conduct and the condition of the inner self. Moral development involves cultivating religious awareness and refining the dispositions that influence behavior. </w:t>
      </w:r>
      <w:proofErr w:type="spellStart"/>
      <w:r w:rsidRPr="00691DF9">
        <w:rPr>
          <w:rFonts w:ascii="Garamond" w:hAnsi="Garamond"/>
          <w:sz w:val="24"/>
          <w:szCs w:val="24"/>
        </w:rPr>
        <w:t>Muhsi</w:t>
      </w:r>
      <w:proofErr w:type="spellEnd"/>
      <w:r w:rsidRPr="00691DF9">
        <w:rPr>
          <w:rFonts w:ascii="Garamond" w:hAnsi="Garamond"/>
          <w:sz w:val="24"/>
          <w:szCs w:val="24"/>
        </w:rPr>
        <w:t xml:space="preserve"> and </w:t>
      </w:r>
      <w:proofErr w:type="spellStart"/>
      <w:r w:rsidRPr="00691DF9">
        <w:rPr>
          <w:rFonts w:ascii="Garamond" w:hAnsi="Garamond"/>
          <w:sz w:val="24"/>
          <w:szCs w:val="24"/>
        </w:rPr>
        <w:t>Nadlif</w:t>
      </w:r>
      <w:proofErr w:type="spellEnd"/>
      <w:r w:rsidRPr="00691DF9">
        <w:rPr>
          <w:rFonts w:ascii="Garamond" w:hAnsi="Garamond"/>
          <w:sz w:val="24"/>
          <w:szCs w:val="24"/>
        </w:rPr>
        <w:t xml:space="preserve"> (2021) examine Al-Ghazali’s perspective on moral education, while Faqih and </w:t>
      </w:r>
      <w:proofErr w:type="spellStart"/>
      <w:r w:rsidRPr="00691DF9">
        <w:rPr>
          <w:rFonts w:ascii="Garamond" w:hAnsi="Garamond"/>
          <w:sz w:val="24"/>
          <w:szCs w:val="24"/>
        </w:rPr>
        <w:t>Widiyastuti</w:t>
      </w:r>
      <w:proofErr w:type="spellEnd"/>
      <w:r w:rsidRPr="00691DF9">
        <w:rPr>
          <w:rFonts w:ascii="Garamond" w:hAnsi="Garamond"/>
          <w:sz w:val="24"/>
          <w:szCs w:val="24"/>
        </w:rPr>
        <w:t xml:space="preserve"> (2021) discuss his educational philosophy in relation to the formation of an Islamic character. These studies support the interpretation that spiritual development is central to Al-Ghazali’s educational orientation. However, his approach should not be reduced to spirituality alone, because moral instruction, habituation, and the practical cultivation of character are also important within discussions of his thought (</w:t>
      </w:r>
      <w:proofErr w:type="spellStart"/>
      <w:r w:rsidRPr="00691DF9">
        <w:rPr>
          <w:rFonts w:ascii="Garamond" w:hAnsi="Garamond"/>
          <w:sz w:val="24"/>
          <w:szCs w:val="24"/>
        </w:rPr>
        <w:t>Faizin</w:t>
      </w:r>
      <w:proofErr w:type="spellEnd"/>
      <w:r w:rsidRPr="00691DF9">
        <w:rPr>
          <w:rFonts w:ascii="Garamond" w:hAnsi="Garamond"/>
          <w:sz w:val="24"/>
          <w:szCs w:val="24"/>
        </w:rPr>
        <w:t>, 2025).</w:t>
      </w:r>
    </w:p>
    <w:p w14:paraId="63B883FF"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Contemporary scholarship broadens the discussion by giving greater attention to the social and institutional environments in which moral development occurs. </w:t>
      </w:r>
      <w:proofErr w:type="spellStart"/>
      <w:r w:rsidRPr="00691DF9">
        <w:rPr>
          <w:rFonts w:ascii="Garamond" w:hAnsi="Garamond"/>
          <w:sz w:val="24"/>
          <w:szCs w:val="24"/>
        </w:rPr>
        <w:t>Fathoni</w:t>
      </w:r>
      <w:proofErr w:type="spellEnd"/>
      <w:r w:rsidRPr="00691DF9">
        <w:rPr>
          <w:rFonts w:ascii="Garamond" w:hAnsi="Garamond"/>
          <w:sz w:val="24"/>
          <w:szCs w:val="24"/>
        </w:rPr>
        <w:t xml:space="preserve"> et al. (2026), for example, reconstruct Al-Ghazali’s character education through a tri-center framework involving the family, school, and community. This approach highlights that ethical development cannot be understood solely as an individual or internal process; it is also influenced by relationships, educational practices, and the surrounding social environment. Similarly, </w:t>
      </w:r>
      <w:proofErr w:type="spellStart"/>
      <w:r w:rsidRPr="00691DF9">
        <w:rPr>
          <w:rFonts w:ascii="Garamond" w:hAnsi="Garamond"/>
          <w:sz w:val="24"/>
          <w:szCs w:val="24"/>
        </w:rPr>
        <w:t>Sitompul</w:t>
      </w:r>
      <w:proofErr w:type="spellEnd"/>
      <w:r w:rsidRPr="00691DF9">
        <w:rPr>
          <w:rFonts w:ascii="Garamond" w:hAnsi="Garamond"/>
          <w:sz w:val="24"/>
          <w:szCs w:val="24"/>
        </w:rPr>
        <w:t xml:space="preserve"> et al. (2023) examine the role of Islamic Religious Education teachers in shaping students’ character and morals, emphasizing the significance of educational actors in the practical development of ethical behavior.</w:t>
      </w:r>
    </w:p>
    <w:p w14:paraId="38ACB3FD"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These differences reveal a shift in analytical emphasis rather than a straightforward historical replacement of one approach by another. Rational reflection and spiritual cultivation remain relevant, but contemporary educational discussions also examine how these principles can be implemented through institutional practices, interpersonal relationships, and coordinated educational environments. A comprehensive approach to Islamic ethical education can therefore bring together rational understanding, spiritual awareness, and social responsibility. Such integration allows moral education to address the inner motivations of learners, their capacity to make ethical judgments, and their responsibilities toward others without assuming that one dimension alone is sufficient.</w:t>
      </w:r>
    </w:p>
    <w:p w14:paraId="5481CF65" w14:textId="27852395" w:rsidR="001C1B50" w:rsidRPr="00691DF9" w:rsidRDefault="001C1B50" w:rsidP="004A2F7E">
      <w:pPr>
        <w:pStyle w:val="NoSpacing"/>
        <w:numPr>
          <w:ilvl w:val="0"/>
          <w:numId w:val="3"/>
        </w:numPr>
        <w:spacing w:line="276" w:lineRule="auto"/>
        <w:ind w:left="357" w:hanging="357"/>
        <w:jc w:val="both"/>
        <w:rPr>
          <w:rFonts w:ascii="Garamond" w:hAnsi="Garamond"/>
          <w:b/>
          <w:bCs/>
          <w:sz w:val="24"/>
          <w:szCs w:val="24"/>
        </w:rPr>
      </w:pPr>
      <w:r w:rsidRPr="00691DF9">
        <w:rPr>
          <w:rFonts w:ascii="Garamond" w:hAnsi="Garamond"/>
          <w:b/>
          <w:bCs/>
          <w:sz w:val="24"/>
          <w:szCs w:val="24"/>
        </w:rPr>
        <w:t>The Role of Habituation, Exemplary Conduct, and Self-Discipline in Ethical Development</w:t>
      </w:r>
    </w:p>
    <w:p w14:paraId="12FE3168"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Habituation and exemplary conduct represent important points of connection between classical ethical thought and contemporary Islamic education. Both approaches recognize that moral development requires repeated practice and consistent guidance, not simply the communication of abstract principles. </w:t>
      </w:r>
      <w:proofErr w:type="spellStart"/>
      <w:r w:rsidRPr="00691DF9">
        <w:rPr>
          <w:rFonts w:ascii="Garamond" w:hAnsi="Garamond"/>
          <w:sz w:val="24"/>
          <w:szCs w:val="24"/>
        </w:rPr>
        <w:t>Faizin</w:t>
      </w:r>
      <w:proofErr w:type="spellEnd"/>
      <w:r w:rsidRPr="00691DF9">
        <w:rPr>
          <w:rFonts w:ascii="Garamond" w:hAnsi="Garamond"/>
          <w:sz w:val="24"/>
          <w:szCs w:val="24"/>
        </w:rPr>
        <w:t xml:space="preserve"> (2025) identifies advice, stories, habituation, and role modeling among the approaches associated with Al-Ghazali’s moral education, while the discussion of Ibn </w:t>
      </w:r>
      <w:proofErr w:type="spellStart"/>
      <w:r w:rsidRPr="00691DF9">
        <w:rPr>
          <w:rFonts w:ascii="Garamond" w:hAnsi="Garamond"/>
          <w:sz w:val="24"/>
          <w:szCs w:val="24"/>
        </w:rPr>
        <w:t>Miskawayh</w:t>
      </w:r>
      <w:proofErr w:type="spellEnd"/>
      <w:r w:rsidRPr="00691DF9">
        <w:rPr>
          <w:rFonts w:ascii="Garamond" w:hAnsi="Garamond"/>
          <w:sz w:val="24"/>
          <w:szCs w:val="24"/>
        </w:rPr>
        <w:t xml:space="preserve"> includes guidance, habituation, and disciplinary measures. </w:t>
      </w:r>
      <w:proofErr w:type="spellStart"/>
      <w:r w:rsidRPr="00691DF9">
        <w:rPr>
          <w:rFonts w:ascii="Garamond" w:hAnsi="Garamond"/>
          <w:sz w:val="24"/>
          <w:szCs w:val="24"/>
        </w:rPr>
        <w:t>Hermawan</w:t>
      </w:r>
      <w:proofErr w:type="spellEnd"/>
      <w:r w:rsidRPr="00691DF9">
        <w:rPr>
          <w:rFonts w:ascii="Garamond" w:hAnsi="Garamond"/>
          <w:sz w:val="24"/>
          <w:szCs w:val="24"/>
        </w:rPr>
        <w:t xml:space="preserve"> and </w:t>
      </w:r>
      <w:proofErr w:type="spellStart"/>
      <w:r w:rsidRPr="00691DF9">
        <w:rPr>
          <w:rFonts w:ascii="Garamond" w:hAnsi="Garamond"/>
          <w:sz w:val="24"/>
          <w:szCs w:val="24"/>
        </w:rPr>
        <w:t>Sudin</w:t>
      </w:r>
      <w:proofErr w:type="spellEnd"/>
      <w:r w:rsidRPr="00691DF9">
        <w:rPr>
          <w:rFonts w:ascii="Garamond" w:hAnsi="Garamond"/>
          <w:sz w:val="24"/>
          <w:szCs w:val="24"/>
        </w:rPr>
        <w:t xml:space="preserve"> (2025) likewise identify habituation as a significant element in comparing the two scholars’ approaches to moral education. These findings suggest that ethical development is understood as a gradual process through which appropriate conduct becomes an established disposition.</w:t>
      </w:r>
    </w:p>
    <w:p w14:paraId="3CBA22D8"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Habituation is educationally important because knowledge of a moral principle does not automatically guarantee consistent behavior. Learners may understand the importance of honesty, responsibility, discipline, or respect but still need repeated opportunities to practice these values in everyday situations. Within Islamic ethical education, habituation can connect religious understanding with observable conduct, enabling students to develop consistency between what </w:t>
      </w:r>
      <w:r w:rsidRPr="00691DF9">
        <w:rPr>
          <w:rFonts w:ascii="Garamond" w:hAnsi="Garamond"/>
          <w:sz w:val="24"/>
          <w:szCs w:val="24"/>
        </w:rPr>
        <w:lastRenderedPageBreak/>
        <w:t xml:space="preserve">they learn and how they behave. The relevance of this principle is reflected in contemporary research on character education in Islamic educational institutions, which examines the implementation of values through structured educational practices (Kurniawan et al., 2022; </w:t>
      </w:r>
      <w:proofErr w:type="spellStart"/>
      <w:r w:rsidRPr="00691DF9">
        <w:rPr>
          <w:rFonts w:ascii="Garamond" w:hAnsi="Garamond"/>
          <w:sz w:val="24"/>
          <w:szCs w:val="24"/>
        </w:rPr>
        <w:t>Maslani</w:t>
      </w:r>
      <w:proofErr w:type="spellEnd"/>
      <w:r w:rsidRPr="00691DF9">
        <w:rPr>
          <w:rFonts w:ascii="Garamond" w:hAnsi="Garamond"/>
          <w:sz w:val="24"/>
          <w:szCs w:val="24"/>
        </w:rPr>
        <w:t xml:space="preserve"> et al., 2023).</w:t>
      </w:r>
    </w:p>
    <w:p w14:paraId="4BD79DEC"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Exemplary conduct complements habituation by providing learners with concrete examples of how ethical principles are practiced. Teachers, parents, and community figures can demonstrate the values they seek to cultivate through their own behavior. The importance of role modeling in Al-Ghazali’s moral education is discussed by </w:t>
      </w:r>
      <w:proofErr w:type="spellStart"/>
      <w:r w:rsidRPr="00691DF9">
        <w:rPr>
          <w:rFonts w:ascii="Garamond" w:hAnsi="Garamond"/>
          <w:sz w:val="24"/>
          <w:szCs w:val="24"/>
        </w:rPr>
        <w:t>Faizin</w:t>
      </w:r>
      <w:proofErr w:type="spellEnd"/>
      <w:r w:rsidRPr="00691DF9">
        <w:rPr>
          <w:rFonts w:ascii="Garamond" w:hAnsi="Garamond"/>
          <w:sz w:val="24"/>
          <w:szCs w:val="24"/>
        </w:rPr>
        <w:t xml:space="preserve"> (2025), while </w:t>
      </w:r>
      <w:proofErr w:type="spellStart"/>
      <w:r w:rsidRPr="00691DF9">
        <w:rPr>
          <w:rFonts w:ascii="Garamond" w:hAnsi="Garamond"/>
          <w:sz w:val="24"/>
          <w:szCs w:val="24"/>
        </w:rPr>
        <w:t>Mawardi</w:t>
      </w:r>
      <w:proofErr w:type="spellEnd"/>
      <w:r w:rsidRPr="00691DF9">
        <w:rPr>
          <w:rFonts w:ascii="Garamond" w:hAnsi="Garamond"/>
          <w:sz w:val="24"/>
          <w:szCs w:val="24"/>
        </w:rPr>
        <w:t xml:space="preserve"> et al. (2021) identify exemplary conduct as one of several strategies for strengthening character education based on Islamic values in online learning during the COVID-19 pandemic. The latter study also identifies instructional innovation, habituation, reinforcement or sanctions, and assessment as relevant strategies. These findings illustrate how a classical concern with moral example can be incorporated into contemporary educational arrangements.</w:t>
      </w:r>
    </w:p>
    <w:p w14:paraId="29D23E54"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Self-discipline is closely related to both habituation and exemplary conduct. It concerns the learner’s ability to regulate behavior, maintain commitments, and act responsibly even when immediate external supervision is absent. In this sense, the aim of moral education is not merely to secure temporary compliance with rules but to encourage the internalization of ethical values. The emphasis on character development in Islamic education, as discussed by </w:t>
      </w:r>
      <w:proofErr w:type="spellStart"/>
      <w:r w:rsidRPr="00691DF9">
        <w:rPr>
          <w:rFonts w:ascii="Garamond" w:hAnsi="Garamond"/>
          <w:sz w:val="24"/>
          <w:szCs w:val="24"/>
        </w:rPr>
        <w:t>Mukhlis</w:t>
      </w:r>
      <w:proofErr w:type="spellEnd"/>
      <w:r w:rsidRPr="00691DF9">
        <w:rPr>
          <w:rFonts w:ascii="Garamond" w:hAnsi="Garamond"/>
          <w:sz w:val="24"/>
          <w:szCs w:val="24"/>
        </w:rPr>
        <w:t xml:space="preserve"> et al. (2024), supports an understanding of education that extends beyond the transmission of information toward the formation of morally responsible individuals.</w:t>
      </w:r>
    </w:p>
    <w:p w14:paraId="01ADDCF5"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Nevertheless, habituation and discipline should not be equated with unquestioning obedience. For educational purposes, repeated practice is more meaningful when accompanied by explanations of the values being cultivated, opportunities for reflection, and appropriate guidance. This interpretation brings together the rational and spiritual dimensions of classical ethical thought with contemporary concerns about effective educational practice. It also suggests that role modeling, habituation, and self-discipline are most effective when they reinforce one another: exemplary conduct provides a model, habituation creates opportunities for practice, and self-discipline supports the continuity of ethical behavior.</w:t>
      </w:r>
    </w:p>
    <w:p w14:paraId="06025E93"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Accordingly, Islamic Religious Education can draw on these principles by integrating regular moral practice, consistent teacher conduct, constructive feedback, and reflective activities. Such an approach preserves the relevance of classical ethical insights while recognizing that contemporary learners require educational environments in which values are demonstrated, practiced, understood, and gradually internalized.</w:t>
      </w:r>
    </w:p>
    <w:p w14:paraId="23F2F065" w14:textId="0EB53423" w:rsidR="001C1B50" w:rsidRPr="00691DF9" w:rsidRDefault="001C1B50" w:rsidP="004A2F7E">
      <w:pPr>
        <w:pStyle w:val="NoSpacing"/>
        <w:numPr>
          <w:ilvl w:val="0"/>
          <w:numId w:val="3"/>
        </w:numPr>
        <w:spacing w:line="276" w:lineRule="auto"/>
        <w:ind w:left="357" w:hanging="357"/>
        <w:jc w:val="both"/>
        <w:rPr>
          <w:rFonts w:ascii="Garamond" w:hAnsi="Garamond"/>
          <w:b/>
          <w:bCs/>
          <w:sz w:val="24"/>
          <w:szCs w:val="24"/>
        </w:rPr>
      </w:pPr>
      <w:r w:rsidRPr="00691DF9">
        <w:rPr>
          <w:rFonts w:ascii="Garamond" w:hAnsi="Garamond"/>
          <w:b/>
          <w:bCs/>
          <w:sz w:val="24"/>
          <w:szCs w:val="24"/>
        </w:rPr>
        <w:t>Contemporary Responses to Digital Culture and Emerging Moral Challenges</w:t>
      </w:r>
    </w:p>
    <w:p w14:paraId="39FD05A2"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Digital culture introduces new contexts in which longstanding ethical principles must be interpreted and practiced. Digital communication, online learning, and social media create opportunities for learning and social participation, but they also raise questions concerning responsible communication, self-control, interpersonal respect, and the use of technology. The central issue for Islamic ethical education is not simply whether digital technology should be used, but how learners can be guided to use it in ways consistent with religious values and moral responsibility.</w:t>
      </w:r>
    </w:p>
    <w:p w14:paraId="3ACDF639"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Contemporary studies in the supplied literature explicitly connect Islamic character education with digital contexts. </w:t>
      </w:r>
      <w:proofErr w:type="spellStart"/>
      <w:r w:rsidRPr="00691DF9">
        <w:rPr>
          <w:rFonts w:ascii="Garamond" w:hAnsi="Garamond"/>
          <w:sz w:val="24"/>
          <w:szCs w:val="24"/>
        </w:rPr>
        <w:t>Martasila</w:t>
      </w:r>
      <w:proofErr w:type="spellEnd"/>
      <w:r w:rsidRPr="00691DF9">
        <w:rPr>
          <w:rFonts w:ascii="Garamond" w:hAnsi="Garamond"/>
          <w:sz w:val="24"/>
          <w:szCs w:val="24"/>
        </w:rPr>
        <w:t xml:space="preserve"> and Abidin (2025) examine Al-Ghazali’s educational thought in relation to Generation Z in the digital era, while Setiawan et al. (2025) address the development of digital ethics from the perspective of Islamic Religious Education. </w:t>
      </w:r>
      <w:proofErr w:type="spellStart"/>
      <w:r w:rsidRPr="00691DF9">
        <w:rPr>
          <w:rFonts w:ascii="Garamond" w:hAnsi="Garamond"/>
          <w:sz w:val="24"/>
          <w:szCs w:val="24"/>
        </w:rPr>
        <w:t>Dimyathi</w:t>
      </w:r>
      <w:proofErr w:type="spellEnd"/>
      <w:r w:rsidRPr="00691DF9">
        <w:rPr>
          <w:rFonts w:ascii="Garamond" w:hAnsi="Garamond"/>
          <w:sz w:val="24"/>
          <w:szCs w:val="24"/>
        </w:rPr>
        <w:t xml:space="preserve"> et al. (2025) also </w:t>
      </w:r>
      <w:r w:rsidRPr="00691DF9">
        <w:rPr>
          <w:rFonts w:ascii="Garamond" w:hAnsi="Garamond"/>
          <w:sz w:val="24"/>
          <w:szCs w:val="24"/>
        </w:rPr>
        <w:lastRenderedPageBreak/>
        <w:t>examine Islamic character education in the digital age through a study of Indonesian state Islamic universities. Together, these studies establish digital culture as a relevant setting for examining the contemporary educational application of Islamic ethical thought.</w:t>
      </w:r>
    </w:p>
    <w:p w14:paraId="0A6BCD1D"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The connection with classical scholarship is particularly evident in the continued relevance of habituation, self-discipline, and spiritual awareness. Although classical scholars did not address present-day digital platforms in their historical contexts, their approaches to moral formation can provide conceptual resources for examining conduct in contemporary environments. For example, habituation can be applied educationally to the practice of verifying information before sharing it, communicating respectfully online, and regulating the time spent on digital devices. These are contemporary pedagogical applications of general ethical principles, rather than claims that classical scholars directly discussed modern technologies.</w:t>
      </w:r>
    </w:p>
    <w:p w14:paraId="64A8944B"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Digital moral education also requires attention to the relationship between individual behavior and the wider educational environment. </w:t>
      </w:r>
      <w:proofErr w:type="spellStart"/>
      <w:r w:rsidRPr="00691DF9">
        <w:rPr>
          <w:rFonts w:ascii="Garamond" w:hAnsi="Garamond"/>
          <w:sz w:val="24"/>
          <w:szCs w:val="24"/>
        </w:rPr>
        <w:t>Mawardi</w:t>
      </w:r>
      <w:proofErr w:type="spellEnd"/>
      <w:r w:rsidRPr="00691DF9">
        <w:rPr>
          <w:rFonts w:ascii="Garamond" w:hAnsi="Garamond"/>
          <w:sz w:val="24"/>
          <w:szCs w:val="24"/>
        </w:rPr>
        <w:t xml:space="preserve"> et al. (2021) demonstrate the importance of adapting character-education strategies to online learning contexts, including role modeling, habituation, instructional innovation, reinforcement, and assessment. This suggests that digital education does not eliminate the need for ethical guidance; rather, it changes the conditions under which guidance and character formation take place. Teachers must therefore consider how moral values can be communicated and practiced when interactions occur partly or entirely through digital media.</w:t>
      </w:r>
    </w:p>
    <w:p w14:paraId="324DFB61"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At the same time, the digital context calls for educational responses that extend beyond prohibitions or behavioral monitoring. Students need opportunities to reflect on the consequences of online actions, evaluate information critically, recognize the dignity of others, and exercise responsibility in digital communication. The broader concern with social behavior in Islamic character education, including the relationship between character formation and religious moderation discussed by </w:t>
      </w:r>
      <w:proofErr w:type="spellStart"/>
      <w:r w:rsidRPr="00691DF9">
        <w:rPr>
          <w:rFonts w:ascii="Garamond" w:hAnsi="Garamond"/>
          <w:sz w:val="24"/>
          <w:szCs w:val="24"/>
        </w:rPr>
        <w:t>Hilmi</w:t>
      </w:r>
      <w:proofErr w:type="spellEnd"/>
      <w:r w:rsidRPr="00691DF9">
        <w:rPr>
          <w:rFonts w:ascii="Garamond" w:hAnsi="Garamond"/>
          <w:sz w:val="24"/>
          <w:szCs w:val="24"/>
        </w:rPr>
        <w:t xml:space="preserve"> et al. (2023), provides a relevant basis for connecting ethical learning with respectful participation in diverse social environments. However, the specific effectiveness of individual digital-ethics interventions cannot be established from these studies alone without further empirical evidence.</w:t>
      </w:r>
    </w:p>
    <w:p w14:paraId="74B194EC"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An important implication is that digital ethics should be integrated into Islamic Religious Education as part of broader character development rather than treated as an isolated technical topic. Curriculum design can connect religious principles with realistic digital scenarios, while teaching methods can combine role modeling, guided discussion, habituation, and reflection. Families and communities can reinforce these practices by establishing consistent expectations for responsible technology use. This direction is compatible with the family-school-community framework discussed by </w:t>
      </w:r>
      <w:proofErr w:type="spellStart"/>
      <w:r w:rsidRPr="00691DF9">
        <w:rPr>
          <w:rFonts w:ascii="Garamond" w:hAnsi="Garamond"/>
          <w:sz w:val="24"/>
          <w:szCs w:val="24"/>
        </w:rPr>
        <w:t>Fathoni</w:t>
      </w:r>
      <w:proofErr w:type="spellEnd"/>
      <w:r w:rsidRPr="00691DF9">
        <w:rPr>
          <w:rFonts w:ascii="Garamond" w:hAnsi="Garamond"/>
          <w:sz w:val="24"/>
          <w:szCs w:val="24"/>
        </w:rPr>
        <w:t xml:space="preserve"> et al. (2026), although applying that framework specifically to digital ethics requires further contextual investigation.</w:t>
      </w:r>
    </w:p>
    <w:p w14:paraId="5BAB1606" w14:textId="7FF32E80" w:rsidR="001C1B50"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In summary, contemporary responses to digital culture illustrate the continuing relevance of classical Islamic ethical thought while demonstrating the need for context-sensitive educational interpretation. Religious commitment, virtue, habituation, and self-discipline remain significant foundations, but educators must translate them into practices that address the realities of digital communication and online learning. The resulting approach connects enduring ethical principles with emerging moral challenges without assuming that historical formulations can be transferred to contemporary settings without interpretation or pedagogical adaptation.</w:t>
      </w:r>
    </w:p>
    <w:p w14:paraId="2F4BDC9D" w14:textId="77777777" w:rsidR="00DA3E9D" w:rsidRPr="00691DF9" w:rsidRDefault="00DA3E9D" w:rsidP="00691DF9">
      <w:pPr>
        <w:pStyle w:val="NoSpacing"/>
        <w:spacing w:line="276" w:lineRule="auto"/>
        <w:ind w:firstLine="567"/>
        <w:jc w:val="both"/>
        <w:rPr>
          <w:rFonts w:ascii="Garamond" w:hAnsi="Garamond"/>
          <w:sz w:val="24"/>
          <w:szCs w:val="24"/>
        </w:rPr>
      </w:pPr>
    </w:p>
    <w:p w14:paraId="4EA9904A" w14:textId="156FD430" w:rsidR="001C1B50" w:rsidRPr="00691DF9" w:rsidRDefault="001C1B50" w:rsidP="004A2F7E">
      <w:pPr>
        <w:pStyle w:val="NoSpacing"/>
        <w:numPr>
          <w:ilvl w:val="0"/>
          <w:numId w:val="1"/>
        </w:numPr>
        <w:spacing w:line="276" w:lineRule="auto"/>
        <w:ind w:left="357" w:hanging="357"/>
        <w:jc w:val="both"/>
        <w:rPr>
          <w:rFonts w:ascii="Garamond" w:hAnsi="Garamond"/>
          <w:b/>
          <w:bCs/>
          <w:sz w:val="24"/>
          <w:szCs w:val="24"/>
        </w:rPr>
      </w:pPr>
      <w:r w:rsidRPr="00691DF9">
        <w:rPr>
          <w:rFonts w:ascii="Garamond" w:hAnsi="Garamond"/>
          <w:b/>
          <w:bCs/>
          <w:sz w:val="24"/>
          <w:szCs w:val="24"/>
        </w:rPr>
        <w:lastRenderedPageBreak/>
        <w:t>Implications of Classical and Contemporary Islamic Ethical Thought for Islamic Religious Education</w:t>
      </w:r>
    </w:p>
    <w:p w14:paraId="5A113DE0"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The discussion of classical and contemporary Muslim ethical thought has important implications for the objectives, curriculum, teaching methods, and broader educational environment of Islamic Religious Education (IRE). Classical scholars such as Ibn </w:t>
      </w:r>
      <w:proofErr w:type="spellStart"/>
      <w:r w:rsidRPr="00691DF9">
        <w:rPr>
          <w:rFonts w:ascii="Garamond" w:hAnsi="Garamond"/>
          <w:sz w:val="24"/>
          <w:szCs w:val="24"/>
        </w:rPr>
        <w:t>Miskawayh</w:t>
      </w:r>
      <w:proofErr w:type="spellEnd"/>
      <w:r w:rsidRPr="00691DF9">
        <w:rPr>
          <w:rFonts w:ascii="Garamond" w:hAnsi="Garamond"/>
          <w:sz w:val="24"/>
          <w:szCs w:val="24"/>
        </w:rPr>
        <w:t xml:space="preserve"> and Al-Ghazali emphasized moral formation through the cultivation of virtues, habituation, guidance, and spiritual development. Contemporary scholarship extends these concerns by examining how Islamic values can be implemented in formal education, character-development programs, and responses to emerging social and technological challenges (</w:t>
      </w:r>
      <w:proofErr w:type="spellStart"/>
      <w:r w:rsidRPr="00691DF9">
        <w:rPr>
          <w:rFonts w:ascii="Garamond" w:hAnsi="Garamond"/>
          <w:sz w:val="24"/>
          <w:szCs w:val="24"/>
        </w:rPr>
        <w:t>Faizin</w:t>
      </w:r>
      <w:proofErr w:type="spellEnd"/>
      <w:r w:rsidRPr="00691DF9">
        <w:rPr>
          <w:rFonts w:ascii="Garamond" w:hAnsi="Garamond"/>
          <w:sz w:val="24"/>
          <w:szCs w:val="24"/>
        </w:rPr>
        <w:t xml:space="preserve">, 2025; </w:t>
      </w:r>
      <w:proofErr w:type="spellStart"/>
      <w:r w:rsidRPr="00691DF9">
        <w:rPr>
          <w:rFonts w:ascii="Garamond" w:hAnsi="Garamond"/>
          <w:sz w:val="24"/>
          <w:szCs w:val="24"/>
        </w:rPr>
        <w:t>Hermawan</w:t>
      </w:r>
      <w:proofErr w:type="spellEnd"/>
      <w:r w:rsidRPr="00691DF9">
        <w:rPr>
          <w:rFonts w:ascii="Garamond" w:hAnsi="Garamond"/>
          <w:sz w:val="24"/>
          <w:szCs w:val="24"/>
        </w:rPr>
        <w:t xml:space="preserve"> &amp; </w:t>
      </w:r>
      <w:proofErr w:type="spellStart"/>
      <w:r w:rsidRPr="00691DF9">
        <w:rPr>
          <w:rFonts w:ascii="Garamond" w:hAnsi="Garamond"/>
          <w:sz w:val="24"/>
          <w:szCs w:val="24"/>
        </w:rPr>
        <w:t>Sudin</w:t>
      </w:r>
      <w:proofErr w:type="spellEnd"/>
      <w:r w:rsidRPr="00691DF9">
        <w:rPr>
          <w:rFonts w:ascii="Garamond" w:hAnsi="Garamond"/>
          <w:sz w:val="24"/>
          <w:szCs w:val="24"/>
        </w:rPr>
        <w:t xml:space="preserve">, 2025; </w:t>
      </w:r>
      <w:proofErr w:type="spellStart"/>
      <w:r w:rsidRPr="00691DF9">
        <w:rPr>
          <w:rFonts w:ascii="Garamond" w:hAnsi="Garamond"/>
          <w:sz w:val="24"/>
          <w:szCs w:val="24"/>
        </w:rPr>
        <w:t>Martasila</w:t>
      </w:r>
      <w:proofErr w:type="spellEnd"/>
      <w:r w:rsidRPr="00691DF9">
        <w:rPr>
          <w:rFonts w:ascii="Garamond" w:hAnsi="Garamond"/>
          <w:sz w:val="24"/>
          <w:szCs w:val="24"/>
        </w:rPr>
        <w:t xml:space="preserve"> &amp; Abidin, 2025). These perspectives suggest that IRE should not be limited to the transmission of religious knowledge or the assessment of students’ understanding of religious concepts. It should also support the development of morally responsible individuals who can translate religious understanding into consistent conduct in their personal and social lives.</w:t>
      </w:r>
    </w:p>
    <w:p w14:paraId="627F8FCB"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This educational orientation requires a connection between ethical principles and pedagogical practice. Religious values become educationally meaningful when students have opportunities to understand them, observe them in practice, reflect on their significance, and apply them in everyday situations. Research on Islamic character education emphasizes the importance of implementation within educational institutions (Kurniawan et al., 2022; </w:t>
      </w:r>
      <w:proofErr w:type="spellStart"/>
      <w:r w:rsidRPr="00691DF9">
        <w:rPr>
          <w:rFonts w:ascii="Garamond" w:hAnsi="Garamond"/>
          <w:sz w:val="24"/>
          <w:szCs w:val="24"/>
        </w:rPr>
        <w:t>Maslani</w:t>
      </w:r>
      <w:proofErr w:type="spellEnd"/>
      <w:r w:rsidRPr="00691DF9">
        <w:rPr>
          <w:rFonts w:ascii="Garamond" w:hAnsi="Garamond"/>
          <w:sz w:val="24"/>
          <w:szCs w:val="24"/>
        </w:rPr>
        <w:t xml:space="preserve"> et al., 2023), while </w:t>
      </w:r>
      <w:proofErr w:type="spellStart"/>
      <w:r w:rsidRPr="00691DF9">
        <w:rPr>
          <w:rFonts w:ascii="Garamond" w:hAnsi="Garamond"/>
          <w:sz w:val="24"/>
          <w:szCs w:val="24"/>
        </w:rPr>
        <w:t>Fathoni</w:t>
      </w:r>
      <w:proofErr w:type="spellEnd"/>
      <w:r w:rsidRPr="00691DF9">
        <w:rPr>
          <w:rFonts w:ascii="Garamond" w:hAnsi="Garamond"/>
          <w:sz w:val="24"/>
          <w:szCs w:val="24"/>
        </w:rPr>
        <w:t xml:space="preserve"> et al. (2026) highlight the complementary roles of family, school, and community in character development. Accordingly, the implications of Islamic ethical thought can be examined through curriculum design, teaching strategies, student character formation, collaboration among educational environments, and an integrated framework for contemporary IRE.</w:t>
      </w:r>
    </w:p>
    <w:p w14:paraId="52BC3B48" w14:textId="0F480256" w:rsidR="001C1B50" w:rsidRPr="00691DF9" w:rsidRDefault="001C1B50" w:rsidP="004A2F7E">
      <w:pPr>
        <w:pStyle w:val="NoSpacing"/>
        <w:numPr>
          <w:ilvl w:val="0"/>
          <w:numId w:val="4"/>
        </w:numPr>
        <w:spacing w:line="276" w:lineRule="auto"/>
        <w:ind w:left="357" w:hanging="357"/>
        <w:jc w:val="both"/>
        <w:rPr>
          <w:rFonts w:ascii="Garamond" w:hAnsi="Garamond"/>
          <w:b/>
          <w:bCs/>
          <w:sz w:val="24"/>
          <w:szCs w:val="24"/>
        </w:rPr>
      </w:pPr>
      <w:r w:rsidRPr="00691DF9">
        <w:rPr>
          <w:rFonts w:ascii="Garamond" w:hAnsi="Garamond"/>
          <w:b/>
          <w:bCs/>
          <w:sz w:val="24"/>
          <w:szCs w:val="24"/>
        </w:rPr>
        <w:t>Implications for the Objectives and Curriculum of Islamic Religious Education</w:t>
      </w:r>
    </w:p>
    <w:p w14:paraId="1A3B1F83"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The first implication concerns the objectives of Islamic Religious Education. Drawing on classical Muslim ethical thought, IRE should aim not only to develop students’ knowledge of Islamic teachings but also to cultivate virtuous character, religious awareness, and responsible behavior. The comparison of Ibn </w:t>
      </w:r>
      <w:proofErr w:type="spellStart"/>
      <w:r w:rsidRPr="00691DF9">
        <w:rPr>
          <w:rFonts w:ascii="Garamond" w:hAnsi="Garamond"/>
          <w:sz w:val="24"/>
          <w:szCs w:val="24"/>
        </w:rPr>
        <w:t>Miskawayh</w:t>
      </w:r>
      <w:proofErr w:type="spellEnd"/>
      <w:r w:rsidRPr="00691DF9">
        <w:rPr>
          <w:rFonts w:ascii="Garamond" w:hAnsi="Garamond"/>
          <w:sz w:val="24"/>
          <w:szCs w:val="24"/>
        </w:rPr>
        <w:t xml:space="preserve"> and Al-Ghazali demonstrates the importance of moral formation in classical Islamic educational thought, although their approaches differ in their respective emphases on rational guidance, habituation, and spiritual cultivation (</w:t>
      </w:r>
      <w:proofErr w:type="spellStart"/>
      <w:r w:rsidRPr="00691DF9">
        <w:rPr>
          <w:rFonts w:ascii="Garamond" w:hAnsi="Garamond"/>
          <w:sz w:val="24"/>
          <w:szCs w:val="24"/>
        </w:rPr>
        <w:t>Faizin</w:t>
      </w:r>
      <w:proofErr w:type="spellEnd"/>
      <w:r w:rsidRPr="00691DF9">
        <w:rPr>
          <w:rFonts w:ascii="Garamond" w:hAnsi="Garamond"/>
          <w:sz w:val="24"/>
          <w:szCs w:val="24"/>
        </w:rPr>
        <w:t xml:space="preserve">, 2025; </w:t>
      </w:r>
      <w:proofErr w:type="spellStart"/>
      <w:r w:rsidRPr="00691DF9">
        <w:rPr>
          <w:rFonts w:ascii="Garamond" w:hAnsi="Garamond"/>
          <w:sz w:val="24"/>
          <w:szCs w:val="24"/>
        </w:rPr>
        <w:t>Hermawan</w:t>
      </w:r>
      <w:proofErr w:type="spellEnd"/>
      <w:r w:rsidRPr="00691DF9">
        <w:rPr>
          <w:rFonts w:ascii="Garamond" w:hAnsi="Garamond"/>
          <w:sz w:val="24"/>
          <w:szCs w:val="24"/>
        </w:rPr>
        <w:t xml:space="preserve"> &amp; </w:t>
      </w:r>
      <w:proofErr w:type="spellStart"/>
      <w:r w:rsidRPr="00691DF9">
        <w:rPr>
          <w:rFonts w:ascii="Garamond" w:hAnsi="Garamond"/>
          <w:sz w:val="24"/>
          <w:szCs w:val="24"/>
        </w:rPr>
        <w:t>Sudin</w:t>
      </w:r>
      <w:proofErr w:type="spellEnd"/>
      <w:r w:rsidRPr="00691DF9">
        <w:rPr>
          <w:rFonts w:ascii="Garamond" w:hAnsi="Garamond"/>
          <w:sz w:val="24"/>
          <w:szCs w:val="24"/>
        </w:rPr>
        <w:t>, 2025). These perspectives provide a conceptual basis for understanding educational success as involving both the acquisition of religious knowledge and the development of dispositions that guide ethical action.</w:t>
      </w:r>
    </w:p>
    <w:p w14:paraId="69349CB5"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This orientation is consistent with the broader objectives of Islamic education discussed by </w:t>
      </w:r>
      <w:proofErr w:type="spellStart"/>
      <w:r w:rsidRPr="00691DF9">
        <w:rPr>
          <w:rFonts w:ascii="Garamond" w:hAnsi="Garamond"/>
          <w:sz w:val="24"/>
          <w:szCs w:val="24"/>
        </w:rPr>
        <w:t>Mukhlis</w:t>
      </w:r>
      <w:proofErr w:type="spellEnd"/>
      <w:r w:rsidRPr="00691DF9">
        <w:rPr>
          <w:rFonts w:ascii="Garamond" w:hAnsi="Garamond"/>
          <w:sz w:val="24"/>
          <w:szCs w:val="24"/>
        </w:rPr>
        <w:t xml:space="preserve"> et al. (2024), who connect education with worldly well-being, the hereafter, and the formation of morally responsible Muslim individuals. From this perspective, curriculum objectives should integrate religious understanding, personal character, and social responsibility rather than treating them as unrelated outcomes. Students should be supported in understanding Islamic ethical principles, explaining their relevance to everyday decisions, and demonstrating values such as honesty, discipline, responsibility, respect, and concern for others.</w:t>
      </w:r>
    </w:p>
    <w:p w14:paraId="226CCDD5"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At the curriculum level, this means integrating ethical reflection across relevant areas of Islamic learning. Lessons on worship, for example, can include discussion of the relationship between religious practice and the cultivation of discipline, responsibility, and consideration for others. Lessons on Islamic beliefs and moral teachings can connect conceptual understanding with situations involving honesty, fairness, respectful disagreement, and social responsibility. These </w:t>
      </w:r>
      <w:r w:rsidRPr="00691DF9">
        <w:rPr>
          <w:rFonts w:ascii="Garamond" w:hAnsi="Garamond"/>
          <w:sz w:val="24"/>
          <w:szCs w:val="24"/>
        </w:rPr>
        <w:lastRenderedPageBreak/>
        <w:t>examples are proposed curricular applications of the ethical principles discussed in the literature, rather than findings about a specific curriculum evaluated by the cited studies.</w:t>
      </w:r>
    </w:p>
    <w:p w14:paraId="43212471"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Contemporary research supports the importance of translating Islamic values into educational practice. Kurniawan et al. (2022) examine the concept and implementation of Islamic character education in educational institutions, while </w:t>
      </w:r>
      <w:proofErr w:type="spellStart"/>
      <w:r w:rsidRPr="00691DF9">
        <w:rPr>
          <w:rFonts w:ascii="Garamond" w:hAnsi="Garamond"/>
          <w:sz w:val="24"/>
          <w:szCs w:val="24"/>
        </w:rPr>
        <w:t>Maslani</w:t>
      </w:r>
      <w:proofErr w:type="spellEnd"/>
      <w:r w:rsidRPr="00691DF9">
        <w:rPr>
          <w:rFonts w:ascii="Garamond" w:hAnsi="Garamond"/>
          <w:sz w:val="24"/>
          <w:szCs w:val="24"/>
        </w:rPr>
        <w:t xml:space="preserve"> et al. (2023) discuss character education implementation within Islamic education. </w:t>
      </w:r>
      <w:proofErr w:type="spellStart"/>
      <w:r w:rsidRPr="00691DF9">
        <w:rPr>
          <w:rFonts w:ascii="Garamond" w:hAnsi="Garamond"/>
          <w:sz w:val="24"/>
          <w:szCs w:val="24"/>
        </w:rPr>
        <w:t>Hilmi</w:t>
      </w:r>
      <w:proofErr w:type="spellEnd"/>
      <w:r w:rsidRPr="00691DF9">
        <w:rPr>
          <w:rFonts w:ascii="Garamond" w:hAnsi="Garamond"/>
          <w:sz w:val="24"/>
          <w:szCs w:val="24"/>
        </w:rPr>
        <w:t xml:space="preserve"> et al. (2023) further connect Islamic character education with religious moderation, highlighting the relevance of ethical learning to students’ engagement with social differences. Together, these studies support a curriculum orientation in which moral development is connected to educational activities and social conduct.</w:t>
      </w:r>
    </w:p>
    <w:p w14:paraId="697FE880"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Curriculum development should also respond to changes in students’ social and technological environments. </w:t>
      </w:r>
      <w:proofErr w:type="spellStart"/>
      <w:r w:rsidRPr="00691DF9">
        <w:rPr>
          <w:rFonts w:ascii="Garamond" w:hAnsi="Garamond"/>
          <w:sz w:val="24"/>
          <w:szCs w:val="24"/>
        </w:rPr>
        <w:t>Martasila</w:t>
      </w:r>
      <w:proofErr w:type="spellEnd"/>
      <w:r w:rsidRPr="00691DF9">
        <w:rPr>
          <w:rFonts w:ascii="Garamond" w:hAnsi="Garamond"/>
          <w:sz w:val="24"/>
          <w:szCs w:val="24"/>
        </w:rPr>
        <w:t xml:space="preserve"> and Abidin (2025) consider Al-Ghazali’s educational thought in relation to Generation Z in the digital era, and Setiawan et al. (2025) examine digital ethics from the perspective of Islamic Religious Education. These studies provide a basis for incorporating ethical questions related to digital communication, responsible technology use, and online behavior into IRE. Such integration should preserve the curriculum’s religious foundations while enabling students to consider how Islamic ethical principles can guide decisions in contemporary situations.</w:t>
      </w:r>
    </w:p>
    <w:p w14:paraId="6B077474"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Consequently, the objectives and curriculum of IRE should connect three dimensions: religious understanding, personal moral development, and social responsibility. This orientation preserves the classical concern with virtuous character while extending its educational application to contemporary circumstances. It also provides a basis for evaluating IRE not exclusively through students’ ability to recall religious information but through a broader assessment of ethical understanding, reflective judgment, and the application of values in everyday life.</w:t>
      </w:r>
    </w:p>
    <w:p w14:paraId="180B6CF2" w14:textId="69584382" w:rsidR="001C1B50" w:rsidRPr="00691DF9" w:rsidRDefault="001C1B50" w:rsidP="004A2F7E">
      <w:pPr>
        <w:pStyle w:val="NoSpacing"/>
        <w:numPr>
          <w:ilvl w:val="0"/>
          <w:numId w:val="4"/>
        </w:numPr>
        <w:spacing w:line="276" w:lineRule="auto"/>
        <w:ind w:left="357" w:hanging="357"/>
        <w:jc w:val="both"/>
        <w:rPr>
          <w:rFonts w:ascii="Garamond" w:hAnsi="Garamond"/>
          <w:b/>
          <w:bCs/>
          <w:sz w:val="24"/>
          <w:szCs w:val="24"/>
        </w:rPr>
      </w:pPr>
      <w:r w:rsidRPr="00691DF9">
        <w:rPr>
          <w:rFonts w:ascii="Garamond" w:hAnsi="Garamond"/>
          <w:b/>
          <w:bCs/>
          <w:sz w:val="24"/>
          <w:szCs w:val="24"/>
        </w:rPr>
        <w:t>Implications for Teaching Methods: Moral Habituation, Role Modeling, and Reflection</w:t>
      </w:r>
    </w:p>
    <w:p w14:paraId="095F3B7C"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The second implication concerns the teaching methods used to translate Islamic ethical principles into educational practice. The classical approaches associated with Ibn </w:t>
      </w:r>
      <w:proofErr w:type="spellStart"/>
      <w:r w:rsidRPr="00691DF9">
        <w:rPr>
          <w:rFonts w:ascii="Garamond" w:hAnsi="Garamond"/>
          <w:sz w:val="24"/>
          <w:szCs w:val="24"/>
        </w:rPr>
        <w:t>Miskawayh</w:t>
      </w:r>
      <w:proofErr w:type="spellEnd"/>
      <w:r w:rsidRPr="00691DF9">
        <w:rPr>
          <w:rFonts w:ascii="Garamond" w:hAnsi="Garamond"/>
          <w:sz w:val="24"/>
          <w:szCs w:val="24"/>
        </w:rPr>
        <w:t xml:space="preserve"> and Al-Ghazali emphasize that moral character develops through guidance, habituation, and the cultivation of virtuous dispositions (</w:t>
      </w:r>
      <w:proofErr w:type="spellStart"/>
      <w:r w:rsidRPr="00691DF9">
        <w:rPr>
          <w:rFonts w:ascii="Garamond" w:hAnsi="Garamond"/>
          <w:sz w:val="24"/>
          <w:szCs w:val="24"/>
        </w:rPr>
        <w:t>Faizin</w:t>
      </w:r>
      <w:proofErr w:type="spellEnd"/>
      <w:r w:rsidRPr="00691DF9">
        <w:rPr>
          <w:rFonts w:ascii="Garamond" w:hAnsi="Garamond"/>
          <w:sz w:val="24"/>
          <w:szCs w:val="24"/>
        </w:rPr>
        <w:t xml:space="preserve">, 2025; </w:t>
      </w:r>
      <w:proofErr w:type="spellStart"/>
      <w:r w:rsidRPr="00691DF9">
        <w:rPr>
          <w:rFonts w:ascii="Garamond" w:hAnsi="Garamond"/>
          <w:sz w:val="24"/>
          <w:szCs w:val="24"/>
        </w:rPr>
        <w:t>Hermawan</w:t>
      </w:r>
      <w:proofErr w:type="spellEnd"/>
      <w:r w:rsidRPr="00691DF9">
        <w:rPr>
          <w:rFonts w:ascii="Garamond" w:hAnsi="Garamond"/>
          <w:sz w:val="24"/>
          <w:szCs w:val="24"/>
        </w:rPr>
        <w:t xml:space="preserve"> &amp; </w:t>
      </w:r>
      <w:proofErr w:type="spellStart"/>
      <w:r w:rsidRPr="00691DF9">
        <w:rPr>
          <w:rFonts w:ascii="Garamond" w:hAnsi="Garamond"/>
          <w:sz w:val="24"/>
          <w:szCs w:val="24"/>
        </w:rPr>
        <w:t>Sudin</w:t>
      </w:r>
      <w:proofErr w:type="spellEnd"/>
      <w:r w:rsidRPr="00691DF9">
        <w:rPr>
          <w:rFonts w:ascii="Garamond" w:hAnsi="Garamond"/>
          <w:sz w:val="24"/>
          <w:szCs w:val="24"/>
        </w:rPr>
        <w:t>, 2025). These perspectives suggest that IRE teaching should combine the explanation of moral principles with repeated opportunities to practice them. Ethical learning becomes more meaningful when students are encouraged not only to understand what constitutes good conduct but also to develop the capacity to apply it consistently.</w:t>
      </w:r>
    </w:p>
    <w:p w14:paraId="2579C709"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Moral habituation is one practical approach to this objective. Teachers can integrate regular practices that encourage honesty, punctuality, responsibility, respect, and cooperation into classroom activities. For example, students can be encouraged to complete assigned tasks responsibly, respect agreed classroom rules, maintain cleanliness, and participate constructively in group activities. These practices should be accompanied by explanations of their ethical significance so that students understand why the behaviors matter. This approach is consistent with the attention given to habituation in classical moral education and with contemporary studies of Islamic character education (</w:t>
      </w:r>
      <w:proofErr w:type="spellStart"/>
      <w:r w:rsidRPr="00691DF9">
        <w:rPr>
          <w:rFonts w:ascii="Garamond" w:hAnsi="Garamond"/>
          <w:sz w:val="24"/>
          <w:szCs w:val="24"/>
        </w:rPr>
        <w:t>Faizin</w:t>
      </w:r>
      <w:proofErr w:type="spellEnd"/>
      <w:r w:rsidRPr="00691DF9">
        <w:rPr>
          <w:rFonts w:ascii="Garamond" w:hAnsi="Garamond"/>
          <w:sz w:val="24"/>
          <w:szCs w:val="24"/>
        </w:rPr>
        <w:t>, 2025; Kurniawan et al., 2022).</w:t>
      </w:r>
    </w:p>
    <w:p w14:paraId="4BD56695"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Role modeling is equally important because students observe how teachers enact the values they teach. A teacher who demonstrates fairness, patience, honesty, consistency, and respect provides a practical example of ethical conduct. Conversely, inconsistencies between moral </w:t>
      </w:r>
      <w:r w:rsidRPr="00691DF9">
        <w:rPr>
          <w:rFonts w:ascii="Garamond" w:hAnsi="Garamond"/>
          <w:sz w:val="24"/>
          <w:szCs w:val="24"/>
        </w:rPr>
        <w:lastRenderedPageBreak/>
        <w:t xml:space="preserve">instruction and teacher behavior may weaken the credibility of the educational message. </w:t>
      </w:r>
      <w:proofErr w:type="spellStart"/>
      <w:r w:rsidRPr="00691DF9">
        <w:rPr>
          <w:rFonts w:ascii="Garamond" w:hAnsi="Garamond"/>
          <w:sz w:val="24"/>
          <w:szCs w:val="24"/>
        </w:rPr>
        <w:t>Mawardi</w:t>
      </w:r>
      <w:proofErr w:type="spellEnd"/>
      <w:r w:rsidRPr="00691DF9">
        <w:rPr>
          <w:rFonts w:ascii="Garamond" w:hAnsi="Garamond"/>
          <w:sz w:val="24"/>
          <w:szCs w:val="24"/>
        </w:rPr>
        <w:t xml:space="preserve"> et al. (2021) identify exemplary conduct as one strategy for strengthening character education based on Islamic values, alongside habituation, instructional innovation, reinforcement, and assessment. Their study illustrates the relevance of role modeling across different teaching arrangements, including online learning.</w:t>
      </w:r>
    </w:p>
    <w:p w14:paraId="54CD3273"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A third method is ethical reflection, which enables students to examine the reasons, motivations, and consequences associated with moral decisions. Reflection complements habituation by helping students understand the principles underlying their actions rather than merely following established routines. Teachers can use case discussions, reflective writing, guided questions, and analysis of everyday situations to encourage students to consider questions of honesty, fairness, responsibility, and respect. In digital contexts, for example, students can discuss the ethical consequences of spreading unverified information or communicating disrespectfully through social media. These activities represent proposed teaching applications informed by the literature on Islamic ethics and contemporary digital education (</w:t>
      </w:r>
      <w:proofErr w:type="spellStart"/>
      <w:r w:rsidRPr="00691DF9">
        <w:rPr>
          <w:rFonts w:ascii="Garamond" w:hAnsi="Garamond"/>
          <w:sz w:val="24"/>
          <w:szCs w:val="24"/>
        </w:rPr>
        <w:t>Martasila</w:t>
      </w:r>
      <w:proofErr w:type="spellEnd"/>
      <w:r w:rsidRPr="00691DF9">
        <w:rPr>
          <w:rFonts w:ascii="Garamond" w:hAnsi="Garamond"/>
          <w:sz w:val="24"/>
          <w:szCs w:val="24"/>
        </w:rPr>
        <w:t xml:space="preserve"> &amp; Abidin, 2025; Setiawan et al., 2025).</w:t>
      </w:r>
    </w:p>
    <w:p w14:paraId="5F155B30"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These three methods are most effective conceptually when used together. Habituation creates opportunities to practice ethical behavior, role modeling demonstrates how values can be enacted, and reflection encourages students to understand the significance of their choices. Reinforcement and assessment can support this process when they provide constructive feedback and encourage improvement rather than relying exclusively on punishment or compliance. </w:t>
      </w:r>
      <w:proofErr w:type="spellStart"/>
      <w:r w:rsidRPr="00691DF9">
        <w:rPr>
          <w:rFonts w:ascii="Garamond" w:hAnsi="Garamond"/>
          <w:sz w:val="24"/>
          <w:szCs w:val="24"/>
        </w:rPr>
        <w:t>Mawardi</w:t>
      </w:r>
      <w:proofErr w:type="spellEnd"/>
      <w:r w:rsidRPr="00691DF9">
        <w:rPr>
          <w:rFonts w:ascii="Garamond" w:hAnsi="Garamond"/>
          <w:sz w:val="24"/>
          <w:szCs w:val="24"/>
        </w:rPr>
        <w:t xml:space="preserve"> et al. (2021) provide a relevant basis for considering these strategies in combination, although their specific effectiveness may vary across educational settings.</w:t>
      </w:r>
    </w:p>
    <w:p w14:paraId="5158327A"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For IRE teachers, the practical implication is to design learning experiences that connect religious knowledge, observable practice, and reflective understanding. Assessment can therefore consider students’ understanding of ethical concepts, their reasoning in response to moral situations, and evidence of responsible participation in educational activities. Such assessment should be conducted carefully, recognizing that character development is gradual and that isolated behaviors do not necessarily establish a student’s enduring moral disposition.</w:t>
      </w:r>
    </w:p>
    <w:p w14:paraId="3F955DB1" w14:textId="6AE5DB74" w:rsidR="001C1B50" w:rsidRPr="00691DF9" w:rsidRDefault="001C1B50" w:rsidP="004A2F7E">
      <w:pPr>
        <w:pStyle w:val="NoSpacing"/>
        <w:numPr>
          <w:ilvl w:val="0"/>
          <w:numId w:val="4"/>
        </w:numPr>
        <w:spacing w:line="276" w:lineRule="auto"/>
        <w:ind w:left="357" w:hanging="357"/>
        <w:jc w:val="both"/>
        <w:rPr>
          <w:rFonts w:ascii="Garamond" w:hAnsi="Garamond"/>
          <w:b/>
          <w:bCs/>
          <w:sz w:val="24"/>
          <w:szCs w:val="24"/>
        </w:rPr>
      </w:pPr>
      <w:r w:rsidRPr="00691DF9">
        <w:rPr>
          <w:rFonts w:ascii="Garamond" w:hAnsi="Garamond"/>
          <w:b/>
          <w:bCs/>
          <w:sz w:val="24"/>
          <w:szCs w:val="24"/>
        </w:rPr>
        <w:t>Implications for Students’ Character Formation and Social Responsibility</w:t>
      </w:r>
    </w:p>
    <w:p w14:paraId="6038344D"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Classical and contemporary Islamic ethical thought also have implications for the relationship between students’ personal character and their responsibilities toward others. Moral education is concerned not only with the cultivation of individual virtues but also with how those virtues shape participation in family life, educational communities, and wider society. The classical emphasis on moral formation, together with contemporary discussions of Islamic education and character development, supports an approach in which personal conduct and social responsibility are treated as interconnected educational outcomes (</w:t>
      </w:r>
      <w:proofErr w:type="spellStart"/>
      <w:r w:rsidRPr="00691DF9">
        <w:rPr>
          <w:rFonts w:ascii="Garamond" w:hAnsi="Garamond"/>
          <w:sz w:val="24"/>
          <w:szCs w:val="24"/>
        </w:rPr>
        <w:t>Mukhlis</w:t>
      </w:r>
      <w:proofErr w:type="spellEnd"/>
      <w:r w:rsidRPr="00691DF9">
        <w:rPr>
          <w:rFonts w:ascii="Garamond" w:hAnsi="Garamond"/>
          <w:sz w:val="24"/>
          <w:szCs w:val="24"/>
        </w:rPr>
        <w:t xml:space="preserve"> et al., 2024; </w:t>
      </w:r>
      <w:proofErr w:type="spellStart"/>
      <w:r w:rsidRPr="00691DF9">
        <w:rPr>
          <w:rFonts w:ascii="Garamond" w:hAnsi="Garamond"/>
          <w:sz w:val="24"/>
          <w:szCs w:val="24"/>
        </w:rPr>
        <w:t>Sitompul</w:t>
      </w:r>
      <w:proofErr w:type="spellEnd"/>
      <w:r w:rsidRPr="00691DF9">
        <w:rPr>
          <w:rFonts w:ascii="Garamond" w:hAnsi="Garamond"/>
          <w:sz w:val="24"/>
          <w:szCs w:val="24"/>
        </w:rPr>
        <w:t xml:space="preserve"> et al., 2023).</w:t>
      </w:r>
    </w:p>
    <w:p w14:paraId="673B687A"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At the individual level, IRE can support the development of self-discipline, honesty, responsibility, perseverance, and awareness of the consequences of one’s actions. These qualities are relevant because students regularly encounter situations that require them to manage their behavior, fulfill obligations, and make decisions in accordance with ethical principles. The approaches associated with Ibn </w:t>
      </w:r>
      <w:proofErr w:type="spellStart"/>
      <w:r w:rsidRPr="00691DF9">
        <w:rPr>
          <w:rFonts w:ascii="Garamond" w:hAnsi="Garamond"/>
          <w:sz w:val="24"/>
          <w:szCs w:val="24"/>
        </w:rPr>
        <w:t>Miskawayh</w:t>
      </w:r>
      <w:proofErr w:type="spellEnd"/>
      <w:r w:rsidRPr="00691DF9">
        <w:rPr>
          <w:rFonts w:ascii="Garamond" w:hAnsi="Garamond"/>
          <w:sz w:val="24"/>
          <w:szCs w:val="24"/>
        </w:rPr>
        <w:t xml:space="preserve"> and Al-Ghazali offer complementary conceptual resources: rational guidance can help students understand moral expectations, while spiritual cultivation and habituation can support the development of consistent ethical dispositions (</w:t>
      </w:r>
      <w:proofErr w:type="spellStart"/>
      <w:r w:rsidRPr="00691DF9">
        <w:rPr>
          <w:rFonts w:ascii="Garamond" w:hAnsi="Garamond"/>
          <w:sz w:val="24"/>
          <w:szCs w:val="24"/>
        </w:rPr>
        <w:t>Faizin</w:t>
      </w:r>
      <w:proofErr w:type="spellEnd"/>
      <w:r w:rsidRPr="00691DF9">
        <w:rPr>
          <w:rFonts w:ascii="Garamond" w:hAnsi="Garamond"/>
          <w:sz w:val="24"/>
          <w:szCs w:val="24"/>
        </w:rPr>
        <w:t xml:space="preserve">, 2025; </w:t>
      </w:r>
      <w:proofErr w:type="spellStart"/>
      <w:r w:rsidRPr="00691DF9">
        <w:rPr>
          <w:rFonts w:ascii="Garamond" w:hAnsi="Garamond"/>
          <w:sz w:val="24"/>
          <w:szCs w:val="24"/>
        </w:rPr>
        <w:t>Hermawan</w:t>
      </w:r>
      <w:proofErr w:type="spellEnd"/>
      <w:r w:rsidRPr="00691DF9">
        <w:rPr>
          <w:rFonts w:ascii="Garamond" w:hAnsi="Garamond"/>
          <w:sz w:val="24"/>
          <w:szCs w:val="24"/>
        </w:rPr>
        <w:t xml:space="preserve"> &amp; </w:t>
      </w:r>
      <w:proofErr w:type="spellStart"/>
      <w:r w:rsidRPr="00691DF9">
        <w:rPr>
          <w:rFonts w:ascii="Garamond" w:hAnsi="Garamond"/>
          <w:sz w:val="24"/>
          <w:szCs w:val="24"/>
        </w:rPr>
        <w:t>Sudin</w:t>
      </w:r>
      <w:proofErr w:type="spellEnd"/>
      <w:r w:rsidRPr="00691DF9">
        <w:rPr>
          <w:rFonts w:ascii="Garamond" w:hAnsi="Garamond"/>
          <w:sz w:val="24"/>
          <w:szCs w:val="24"/>
        </w:rPr>
        <w:t>, 2025).</w:t>
      </w:r>
    </w:p>
    <w:p w14:paraId="6D240FD9"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lastRenderedPageBreak/>
        <w:t xml:space="preserve">At the interpersonal level, character education should encourage students to respect others, communicate constructively, cooperate, and respond appropriately to differences. </w:t>
      </w:r>
      <w:proofErr w:type="spellStart"/>
      <w:r w:rsidRPr="00691DF9">
        <w:rPr>
          <w:rFonts w:ascii="Garamond" w:hAnsi="Garamond"/>
          <w:sz w:val="24"/>
          <w:szCs w:val="24"/>
        </w:rPr>
        <w:t>Hilmi</w:t>
      </w:r>
      <w:proofErr w:type="spellEnd"/>
      <w:r w:rsidRPr="00691DF9">
        <w:rPr>
          <w:rFonts w:ascii="Garamond" w:hAnsi="Garamond"/>
          <w:sz w:val="24"/>
          <w:szCs w:val="24"/>
        </w:rPr>
        <w:t xml:space="preserve"> et al. (2023) examine Islamic character education in relation to religious moderation, demonstrating the relevance of character formation to interactions within diverse social environments. This perspective suggests that religious education should help students understand that ethical responsibility includes the treatment of other people, not merely individual adherence to rules of conduct. Respectful disagreement, fairness in group activities, and opposition to harmful interpersonal behavior can therefore become relevant contexts for ethical learning.</w:t>
      </w:r>
    </w:p>
    <w:p w14:paraId="1B80D785"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Social responsibility also involves participation in activities that benefit the wider community. Students can be encouraged to contribute to collaborative projects, assist peers, maintain shared facilities, and participate in appropriate community-service activities. These are proposed educational applications of the relationship between moral character and positive social contribution discussed by </w:t>
      </w:r>
      <w:proofErr w:type="spellStart"/>
      <w:r w:rsidRPr="00691DF9">
        <w:rPr>
          <w:rFonts w:ascii="Garamond" w:hAnsi="Garamond"/>
          <w:sz w:val="24"/>
          <w:szCs w:val="24"/>
        </w:rPr>
        <w:t>Mukhlis</w:t>
      </w:r>
      <w:proofErr w:type="spellEnd"/>
      <w:r w:rsidRPr="00691DF9">
        <w:rPr>
          <w:rFonts w:ascii="Garamond" w:hAnsi="Garamond"/>
          <w:sz w:val="24"/>
          <w:szCs w:val="24"/>
        </w:rPr>
        <w:t xml:space="preserve"> et al. (2024). Such activities can provide opportunities for students to connect ethical concepts with practical responsibilities while learning that individual actions affect the well-being of others.</w:t>
      </w:r>
    </w:p>
    <w:p w14:paraId="38D8BB25"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Importantly, character formation should not be assessed solely through visible conformity to school rules. Students may comply with expectations because of external pressure without fully understanding or accepting the values involved. A stronger educational approach combines behavioral guidance with opportunities for reflection, explanation, and responsible decision-making. In this respect, the combination of habituation, exemplary conduct, and reflective learning can support the development of ethical understanding alongside responsible behavior (</w:t>
      </w:r>
      <w:proofErr w:type="spellStart"/>
      <w:r w:rsidRPr="00691DF9">
        <w:rPr>
          <w:rFonts w:ascii="Garamond" w:hAnsi="Garamond"/>
          <w:sz w:val="24"/>
          <w:szCs w:val="24"/>
        </w:rPr>
        <w:t>Faizin</w:t>
      </w:r>
      <w:proofErr w:type="spellEnd"/>
      <w:r w:rsidRPr="00691DF9">
        <w:rPr>
          <w:rFonts w:ascii="Garamond" w:hAnsi="Garamond"/>
          <w:sz w:val="24"/>
          <w:szCs w:val="24"/>
        </w:rPr>
        <w:t xml:space="preserve">, 2025; </w:t>
      </w:r>
      <w:proofErr w:type="spellStart"/>
      <w:r w:rsidRPr="00691DF9">
        <w:rPr>
          <w:rFonts w:ascii="Garamond" w:hAnsi="Garamond"/>
          <w:sz w:val="24"/>
          <w:szCs w:val="24"/>
        </w:rPr>
        <w:t>Mawardi</w:t>
      </w:r>
      <w:proofErr w:type="spellEnd"/>
      <w:r w:rsidRPr="00691DF9">
        <w:rPr>
          <w:rFonts w:ascii="Garamond" w:hAnsi="Garamond"/>
          <w:sz w:val="24"/>
          <w:szCs w:val="24"/>
        </w:rPr>
        <w:t xml:space="preserve"> et al., 2021).</w:t>
      </w:r>
    </w:p>
    <w:p w14:paraId="6D904C43"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The implication for IRE is that character formation should be understood as a continuing educational process involving personal discipline, interpersonal conduct, and social participation. Its purpose is to support students in becoming individuals who understand Islamic ethical principles and can apply them thoughtfully in different situations. Nevertheless, the literature discussed here provides a conceptual and educational basis for this approach; further empirical research would be needed to determine which combinations of teaching strategies produce the most sustained changes in students’ behavior across different contexts.</w:t>
      </w:r>
    </w:p>
    <w:p w14:paraId="53CA8DAA" w14:textId="00C2317F" w:rsidR="001C1B50" w:rsidRPr="00691DF9" w:rsidRDefault="001C1B50" w:rsidP="004A2F7E">
      <w:pPr>
        <w:pStyle w:val="NoSpacing"/>
        <w:numPr>
          <w:ilvl w:val="0"/>
          <w:numId w:val="4"/>
        </w:numPr>
        <w:spacing w:line="276" w:lineRule="auto"/>
        <w:ind w:left="357" w:hanging="357"/>
        <w:jc w:val="both"/>
        <w:rPr>
          <w:rFonts w:ascii="Garamond" w:hAnsi="Garamond"/>
          <w:b/>
          <w:bCs/>
          <w:sz w:val="24"/>
          <w:szCs w:val="24"/>
        </w:rPr>
      </w:pPr>
      <w:r w:rsidRPr="00691DF9">
        <w:rPr>
          <w:rFonts w:ascii="Garamond" w:hAnsi="Garamond"/>
          <w:b/>
          <w:bCs/>
          <w:sz w:val="24"/>
          <w:szCs w:val="24"/>
        </w:rPr>
        <w:t>Integrating Islamic Ethical Values into Family, School, and Community Environments</w:t>
      </w:r>
    </w:p>
    <w:p w14:paraId="1CA99F2E"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The formation of moral character does not occur exclusively in the classroom. Students encounter ethical expectations and behavioral examples in their families, schools, peer groups, religious institutions, and wider communities. Consequently, the educational implications of Islamic ethical thought extend beyond individual teaching methods to the relationships among these environments. </w:t>
      </w:r>
      <w:proofErr w:type="spellStart"/>
      <w:r w:rsidRPr="00691DF9">
        <w:rPr>
          <w:rFonts w:ascii="Garamond" w:hAnsi="Garamond"/>
          <w:sz w:val="24"/>
          <w:szCs w:val="24"/>
        </w:rPr>
        <w:t>Fathoni</w:t>
      </w:r>
      <w:proofErr w:type="spellEnd"/>
      <w:r w:rsidRPr="00691DF9">
        <w:rPr>
          <w:rFonts w:ascii="Garamond" w:hAnsi="Garamond"/>
          <w:sz w:val="24"/>
          <w:szCs w:val="24"/>
        </w:rPr>
        <w:t xml:space="preserve"> et al. (2026) address this issue through a tri-center framework that connects family, school, and community in reconstructing Al-Ghazali’s character education for contemporary moral challenges.</w:t>
      </w:r>
    </w:p>
    <w:p w14:paraId="324C7B2F"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The family provides an important environment for introducing and reinforcing ethical values through everyday relationships and routines. Parents and other family members can demonstrate honesty, responsibility, respectful communication, self-discipline, and concern for others. These practices can complement formal religious instruction by providing students with opportunities to observe and practice values in daily life. Within the framework discussed by </w:t>
      </w:r>
      <w:proofErr w:type="spellStart"/>
      <w:r w:rsidRPr="00691DF9">
        <w:rPr>
          <w:rFonts w:ascii="Garamond" w:hAnsi="Garamond"/>
          <w:sz w:val="24"/>
          <w:szCs w:val="24"/>
        </w:rPr>
        <w:t>Fathoni</w:t>
      </w:r>
      <w:proofErr w:type="spellEnd"/>
      <w:r w:rsidRPr="00691DF9">
        <w:rPr>
          <w:rFonts w:ascii="Garamond" w:hAnsi="Garamond"/>
          <w:sz w:val="24"/>
          <w:szCs w:val="24"/>
        </w:rPr>
        <w:t xml:space="preserve"> et al. (2026), the family has an important role in initiating habituation and establishing the foundations of ethical </w:t>
      </w:r>
      <w:r w:rsidRPr="00691DF9">
        <w:rPr>
          <w:rFonts w:ascii="Garamond" w:hAnsi="Garamond"/>
          <w:sz w:val="24"/>
          <w:szCs w:val="24"/>
        </w:rPr>
        <w:lastRenderedPageBreak/>
        <w:t>conduct. The educational implication is that communication between teachers and parents can help maintain greater consistency between school expectations and home practices.</w:t>
      </w:r>
    </w:p>
    <w:p w14:paraId="3B1E7AE3"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The school provides a structured environment in which ethical principles can be explained, practiced, and evaluated. Islamic Religious Education teachers can integrate moral reflection into lessons, demonstrate the values being taught, and establish classroom practices that promote fairness, responsibility, and respect. School rules and character-development activities can reinforce these objectives when they are applied consistently and explained in educationally meaningful ways. Research on Islamic character education and the role of teachers supports the importance of institutional practices in translating moral principles into educational activities (Kurniawan et al., 2022; </w:t>
      </w:r>
      <w:proofErr w:type="spellStart"/>
      <w:r w:rsidRPr="00691DF9">
        <w:rPr>
          <w:rFonts w:ascii="Garamond" w:hAnsi="Garamond"/>
          <w:sz w:val="24"/>
          <w:szCs w:val="24"/>
        </w:rPr>
        <w:t>Maslani</w:t>
      </w:r>
      <w:proofErr w:type="spellEnd"/>
      <w:r w:rsidRPr="00691DF9">
        <w:rPr>
          <w:rFonts w:ascii="Garamond" w:hAnsi="Garamond"/>
          <w:sz w:val="24"/>
          <w:szCs w:val="24"/>
        </w:rPr>
        <w:t xml:space="preserve"> et al., 2023; </w:t>
      </w:r>
      <w:proofErr w:type="spellStart"/>
      <w:r w:rsidRPr="00691DF9">
        <w:rPr>
          <w:rFonts w:ascii="Garamond" w:hAnsi="Garamond"/>
          <w:sz w:val="24"/>
          <w:szCs w:val="24"/>
        </w:rPr>
        <w:t>Sitompul</w:t>
      </w:r>
      <w:proofErr w:type="spellEnd"/>
      <w:r w:rsidRPr="00691DF9">
        <w:rPr>
          <w:rFonts w:ascii="Garamond" w:hAnsi="Garamond"/>
          <w:sz w:val="24"/>
          <w:szCs w:val="24"/>
        </w:rPr>
        <w:t xml:space="preserve"> et al., 2023).</w:t>
      </w:r>
    </w:p>
    <w:p w14:paraId="1B5D34E1"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The community provides a broader social environment in which students encounter moral expectations and opportunities for participation. Religious institutions, community organizations, and local leaders can support ethical development through appropriate collective activities, examples of responsible conduct, and cooperation with schools and families. </w:t>
      </w:r>
      <w:proofErr w:type="spellStart"/>
      <w:r w:rsidRPr="00691DF9">
        <w:rPr>
          <w:rFonts w:ascii="Garamond" w:hAnsi="Garamond"/>
          <w:sz w:val="24"/>
          <w:szCs w:val="24"/>
        </w:rPr>
        <w:t>Fathoni</w:t>
      </w:r>
      <w:proofErr w:type="spellEnd"/>
      <w:r w:rsidRPr="00691DF9">
        <w:rPr>
          <w:rFonts w:ascii="Garamond" w:hAnsi="Garamond"/>
          <w:sz w:val="24"/>
          <w:szCs w:val="24"/>
        </w:rPr>
        <w:t xml:space="preserve"> et al. (2026) emphasize the community as part of the wider environment that can reinforce or weaken character development. This observation implies that the effectiveness of school-based moral education may be influenced by the consistency between educational messages and the practices students observe in their surrounding communities.</w:t>
      </w:r>
    </w:p>
    <w:p w14:paraId="61C24A1E"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Integration among these environments requires more than the separate implementation of similar programs. It involves communication, shared expectations, and coordination around educational goals. For example, schools can communicate character-development objectives to parents, involve community figures in appropriate educational activities, and provide opportunities for students to practice values through collaborative projects. These measures are proposed applications of the family-school-community framework rather than evidence that a single model will be equally effective in all settings.</w:t>
      </w:r>
    </w:p>
    <w:p w14:paraId="75A24B72"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Consistency is particularly important when students encounter conflicting messages. A school may emphasize honesty and respect, for example, while students observe behavior in other environments that contradicts these values. Such inconsistencies can complicate ethical development. Collaboration among families, schools, and communities can help address this challenge by reinforcing common principles while acknowledging differences in responsibilities and circumstances.</w:t>
      </w:r>
    </w:p>
    <w:p w14:paraId="6E35397D"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The integration of these environments also has implications for contemporary digital culture. Families can support responsible technology use at home, schools can provide instruction in digital ethics, and communities can encourage respectful online and offline participation. This proposed application connects the tri-center framework discussed by </w:t>
      </w:r>
      <w:proofErr w:type="spellStart"/>
      <w:r w:rsidRPr="00691DF9">
        <w:rPr>
          <w:rFonts w:ascii="Garamond" w:hAnsi="Garamond"/>
          <w:sz w:val="24"/>
          <w:szCs w:val="24"/>
        </w:rPr>
        <w:t>Fathoni</w:t>
      </w:r>
      <w:proofErr w:type="spellEnd"/>
      <w:r w:rsidRPr="00691DF9">
        <w:rPr>
          <w:rFonts w:ascii="Garamond" w:hAnsi="Garamond"/>
          <w:sz w:val="24"/>
          <w:szCs w:val="24"/>
        </w:rPr>
        <w:t xml:space="preserve"> et al. (2026) with contemporary concerns about Islamic character education in digital contexts (</w:t>
      </w:r>
      <w:proofErr w:type="spellStart"/>
      <w:r w:rsidRPr="00691DF9">
        <w:rPr>
          <w:rFonts w:ascii="Garamond" w:hAnsi="Garamond"/>
          <w:sz w:val="24"/>
          <w:szCs w:val="24"/>
        </w:rPr>
        <w:t>Martasila</w:t>
      </w:r>
      <w:proofErr w:type="spellEnd"/>
      <w:r w:rsidRPr="00691DF9">
        <w:rPr>
          <w:rFonts w:ascii="Garamond" w:hAnsi="Garamond"/>
          <w:sz w:val="24"/>
          <w:szCs w:val="24"/>
        </w:rPr>
        <w:t xml:space="preserve"> &amp; Abidin, 2025; Setiawan et al., 2025).</w:t>
      </w:r>
    </w:p>
    <w:p w14:paraId="0AEB71F7" w14:textId="0C5B2D1C" w:rsidR="001C1B50"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Overall, family, school, and community should be regarded as complementary environments for Islamic ethical education. Their integration can provide students with more consistent opportunities to observe, practice, and reflect on moral values. However, successful coordination depends on local conditions, available resources, and the willingness of educational stakeholders to cooperate. Further empirical investigation is needed to establish how different forms of collaboration influence students’ long-term character development.</w:t>
      </w:r>
    </w:p>
    <w:p w14:paraId="20DE35E2" w14:textId="07C5E71D" w:rsidR="00DA3E9D" w:rsidRDefault="00DA3E9D" w:rsidP="00691DF9">
      <w:pPr>
        <w:pStyle w:val="NoSpacing"/>
        <w:spacing w:line="276" w:lineRule="auto"/>
        <w:ind w:firstLine="567"/>
        <w:jc w:val="both"/>
        <w:rPr>
          <w:rFonts w:ascii="Garamond" w:hAnsi="Garamond"/>
          <w:sz w:val="24"/>
          <w:szCs w:val="24"/>
        </w:rPr>
      </w:pPr>
    </w:p>
    <w:p w14:paraId="4E3FE600" w14:textId="77777777" w:rsidR="00DA3E9D" w:rsidRPr="00691DF9" w:rsidRDefault="00DA3E9D" w:rsidP="00691DF9">
      <w:pPr>
        <w:pStyle w:val="NoSpacing"/>
        <w:spacing w:line="276" w:lineRule="auto"/>
        <w:ind w:firstLine="567"/>
        <w:jc w:val="both"/>
        <w:rPr>
          <w:rFonts w:ascii="Garamond" w:hAnsi="Garamond"/>
          <w:sz w:val="24"/>
          <w:szCs w:val="24"/>
        </w:rPr>
      </w:pPr>
    </w:p>
    <w:p w14:paraId="057FC675" w14:textId="101E646E" w:rsidR="001C1B50" w:rsidRPr="00EE3BC0" w:rsidRDefault="001C1B50" w:rsidP="004A2F7E">
      <w:pPr>
        <w:pStyle w:val="NoSpacing"/>
        <w:numPr>
          <w:ilvl w:val="0"/>
          <w:numId w:val="4"/>
        </w:numPr>
        <w:spacing w:line="276" w:lineRule="auto"/>
        <w:ind w:left="357" w:hanging="357"/>
        <w:jc w:val="both"/>
        <w:rPr>
          <w:rFonts w:ascii="Garamond" w:hAnsi="Garamond"/>
          <w:b/>
          <w:bCs/>
          <w:sz w:val="24"/>
          <w:szCs w:val="24"/>
        </w:rPr>
      </w:pPr>
      <w:r w:rsidRPr="00EE3BC0">
        <w:rPr>
          <w:rFonts w:ascii="Garamond" w:hAnsi="Garamond"/>
          <w:b/>
          <w:bCs/>
          <w:sz w:val="24"/>
          <w:szCs w:val="24"/>
        </w:rPr>
        <w:lastRenderedPageBreak/>
        <w:t>A Conceptual Framework for Strengthening Islamic Religious Education in Contemporary Contexts</w:t>
      </w:r>
    </w:p>
    <w:p w14:paraId="11ED330D"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The preceding discussion suggests the need for a conceptual framework that connects the foundational principles of classical Islamic ethics with the educational requirements of contemporary society. Such a framework should preserve the importance of religious values and virtuous character while providing practical guidance for curriculum development, teaching methods, student development, and collaboration among educational environments. The framework proposed here is a synthesis derived from the literature discussed in this article, not a model already empirically validated by the cited studies.</w:t>
      </w:r>
    </w:p>
    <w:p w14:paraId="79EA37CA" w14:textId="77777777" w:rsidR="00691DF9" w:rsidRPr="00691DF9" w:rsidRDefault="00691DF9" w:rsidP="00691DF9">
      <w:pPr>
        <w:pStyle w:val="NoSpacing"/>
        <w:spacing w:line="276" w:lineRule="auto"/>
        <w:ind w:firstLine="567"/>
        <w:jc w:val="both"/>
        <w:rPr>
          <w:rFonts w:ascii="Garamond" w:eastAsia="Times New Roman" w:hAnsi="Garamond" w:cs="Times New Roman"/>
          <w:sz w:val="24"/>
          <w:szCs w:val="24"/>
          <w:lang w:bidi="ar-SA"/>
        </w:rPr>
      </w:pPr>
      <w:r w:rsidRPr="00691DF9">
        <w:rPr>
          <w:rFonts w:ascii="Garamond" w:eastAsia="Times New Roman" w:hAnsi="Garamond" w:cs="Times New Roman"/>
          <w:sz w:val="24"/>
          <w:szCs w:val="24"/>
          <w:lang w:bidi="ar-SA"/>
        </w:rPr>
        <w:t>Figure 1 illustrates a conceptual framework for strengthening Islamic Religious Education by integrating classical Islamic ethical principles with contemporary educational practices. It presents the interconnected dimensions that support students’ moral development and social responsibility.</w:t>
      </w:r>
    </w:p>
    <w:p w14:paraId="244DF416" w14:textId="00E88487" w:rsidR="00691DF9" w:rsidRPr="00691DF9" w:rsidRDefault="00691DF9" w:rsidP="00691DF9">
      <w:pPr>
        <w:pStyle w:val="NoSpacing"/>
        <w:spacing w:line="276" w:lineRule="auto"/>
        <w:ind w:firstLine="567"/>
        <w:jc w:val="both"/>
        <w:rPr>
          <w:rFonts w:ascii="Garamond" w:eastAsia="Times New Roman" w:hAnsi="Garamond" w:cs="Times New Roman"/>
          <w:sz w:val="24"/>
          <w:szCs w:val="24"/>
          <w:lang w:bidi="ar-SA"/>
        </w:rPr>
      </w:pPr>
      <w:r w:rsidRPr="00691DF9">
        <w:rPr>
          <w:rFonts w:ascii="Garamond" w:eastAsia="Times New Roman" w:hAnsi="Garamond" w:cs="Times New Roman"/>
          <w:noProof/>
          <w:sz w:val="24"/>
          <w:szCs w:val="24"/>
          <w:lang w:bidi="ar-SA"/>
        </w:rPr>
        <w:drawing>
          <wp:inline distT="0" distB="0" distL="0" distR="0" wp14:anchorId="24351AB2" wp14:editId="5054FA8D">
            <wp:extent cx="4574540" cy="50196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4540" cy="5019675"/>
                    </a:xfrm>
                    <a:prstGeom prst="rect">
                      <a:avLst/>
                    </a:prstGeom>
                    <a:noFill/>
                    <a:ln>
                      <a:noFill/>
                    </a:ln>
                  </pic:spPr>
                </pic:pic>
              </a:graphicData>
            </a:graphic>
          </wp:inline>
        </w:drawing>
      </w:r>
    </w:p>
    <w:p w14:paraId="10D360AD" w14:textId="77777777" w:rsidR="00691DF9" w:rsidRPr="00691DF9" w:rsidRDefault="00691DF9" w:rsidP="00691DF9">
      <w:pPr>
        <w:pStyle w:val="NoSpacing"/>
        <w:spacing w:line="276" w:lineRule="auto"/>
        <w:ind w:firstLine="567"/>
        <w:jc w:val="both"/>
        <w:rPr>
          <w:rFonts w:ascii="Garamond" w:eastAsia="Times New Roman" w:hAnsi="Garamond" w:cs="Times New Roman"/>
          <w:sz w:val="24"/>
          <w:szCs w:val="24"/>
          <w:lang w:bidi="ar-SA"/>
        </w:rPr>
      </w:pPr>
      <w:r w:rsidRPr="00691DF9">
        <w:rPr>
          <w:rFonts w:ascii="Garamond" w:eastAsia="Times New Roman" w:hAnsi="Garamond" w:cs="Times New Roman"/>
          <w:sz w:val="24"/>
          <w:szCs w:val="24"/>
          <w:lang w:bidi="ar-SA"/>
        </w:rPr>
        <w:t xml:space="preserve">Figure 1 presents five interconnected dimensions, beginning with foundational ethical principles, including Islamic religious values, moral virtues, spiritual awareness, and responsibility. These principles inform the objectives and curriculum of Islamic Religious Education, which are implemented through teaching practices such as moral habituation, role modeling, reflection, constructive feedback, and assessment. The framework also emphasizes collaboration among families, schools, and communities, including responsible participation in digital environments. </w:t>
      </w:r>
      <w:r w:rsidRPr="00691DF9">
        <w:rPr>
          <w:rFonts w:ascii="Garamond" w:eastAsia="Times New Roman" w:hAnsi="Garamond" w:cs="Times New Roman"/>
          <w:sz w:val="24"/>
          <w:szCs w:val="24"/>
          <w:lang w:bidi="ar-SA"/>
        </w:rPr>
        <w:lastRenderedPageBreak/>
        <w:t>These dimensions are intended to promote ethical understanding, self-discipline, virtuous conduct, and social responsibility. Overall, the framework highlights the importance of connecting Islamic ethical foundations with practical educational strategies to support students’ character development in contemporary contexts.</w:t>
      </w:r>
    </w:p>
    <w:p w14:paraId="121D833C"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The first dimension, foundational ethical principles, provides the normative basis of the framework. It draws on classical Muslim ethical thought, particularly the concern with virtue, rational guidance, spiritual cultivation, and habituation associated with Ibn </w:t>
      </w:r>
      <w:proofErr w:type="spellStart"/>
      <w:r w:rsidRPr="00691DF9">
        <w:rPr>
          <w:rFonts w:ascii="Garamond" w:hAnsi="Garamond"/>
          <w:sz w:val="24"/>
          <w:szCs w:val="24"/>
        </w:rPr>
        <w:t>Miskawayh</w:t>
      </w:r>
      <w:proofErr w:type="spellEnd"/>
      <w:r w:rsidRPr="00691DF9">
        <w:rPr>
          <w:rFonts w:ascii="Garamond" w:hAnsi="Garamond"/>
          <w:sz w:val="24"/>
          <w:szCs w:val="24"/>
        </w:rPr>
        <w:t xml:space="preserve"> and Al-Ghazali (</w:t>
      </w:r>
      <w:proofErr w:type="spellStart"/>
      <w:r w:rsidRPr="00691DF9">
        <w:rPr>
          <w:rFonts w:ascii="Garamond" w:hAnsi="Garamond"/>
          <w:sz w:val="24"/>
          <w:szCs w:val="24"/>
        </w:rPr>
        <w:t>Faizin</w:t>
      </w:r>
      <w:proofErr w:type="spellEnd"/>
      <w:r w:rsidRPr="00691DF9">
        <w:rPr>
          <w:rFonts w:ascii="Garamond" w:hAnsi="Garamond"/>
          <w:sz w:val="24"/>
          <w:szCs w:val="24"/>
        </w:rPr>
        <w:t xml:space="preserve">, 2025; </w:t>
      </w:r>
      <w:proofErr w:type="spellStart"/>
      <w:r w:rsidRPr="00691DF9">
        <w:rPr>
          <w:rFonts w:ascii="Garamond" w:hAnsi="Garamond"/>
          <w:sz w:val="24"/>
          <w:szCs w:val="24"/>
        </w:rPr>
        <w:t>Hermawan</w:t>
      </w:r>
      <w:proofErr w:type="spellEnd"/>
      <w:r w:rsidRPr="00691DF9">
        <w:rPr>
          <w:rFonts w:ascii="Garamond" w:hAnsi="Garamond"/>
          <w:sz w:val="24"/>
          <w:szCs w:val="24"/>
        </w:rPr>
        <w:t xml:space="preserve"> &amp; </w:t>
      </w:r>
      <w:proofErr w:type="spellStart"/>
      <w:r w:rsidRPr="00691DF9">
        <w:rPr>
          <w:rFonts w:ascii="Garamond" w:hAnsi="Garamond"/>
          <w:sz w:val="24"/>
          <w:szCs w:val="24"/>
        </w:rPr>
        <w:t>Sudin</w:t>
      </w:r>
      <w:proofErr w:type="spellEnd"/>
      <w:r w:rsidRPr="00691DF9">
        <w:rPr>
          <w:rFonts w:ascii="Garamond" w:hAnsi="Garamond"/>
          <w:sz w:val="24"/>
          <w:szCs w:val="24"/>
        </w:rPr>
        <w:t>, 2025). These principles establish the values that educational objectives and practices are intended to support.</w:t>
      </w:r>
    </w:p>
    <w:p w14:paraId="114061FA"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The second dimension, educational objectives and curriculum, translates these principles into explicit learning goals. Rather than limiting IRE to the acquisition of religious knowledge, this dimension connects religious understanding with ethical reasoning, character development, and responsibility toward others. This orientation is consistent with discussions of Islamic education’s broader objectives (</w:t>
      </w:r>
      <w:proofErr w:type="spellStart"/>
      <w:r w:rsidRPr="00691DF9">
        <w:rPr>
          <w:rFonts w:ascii="Garamond" w:hAnsi="Garamond"/>
          <w:sz w:val="24"/>
          <w:szCs w:val="24"/>
        </w:rPr>
        <w:t>Mukhlis</w:t>
      </w:r>
      <w:proofErr w:type="spellEnd"/>
      <w:r w:rsidRPr="00691DF9">
        <w:rPr>
          <w:rFonts w:ascii="Garamond" w:hAnsi="Garamond"/>
          <w:sz w:val="24"/>
          <w:szCs w:val="24"/>
        </w:rPr>
        <w:t xml:space="preserve"> et al., 2024) and the implementation of character education in educational institutions (Kurniawan et al., 2022; </w:t>
      </w:r>
      <w:proofErr w:type="spellStart"/>
      <w:r w:rsidRPr="00691DF9">
        <w:rPr>
          <w:rFonts w:ascii="Garamond" w:hAnsi="Garamond"/>
          <w:sz w:val="24"/>
          <w:szCs w:val="24"/>
        </w:rPr>
        <w:t>Maslani</w:t>
      </w:r>
      <w:proofErr w:type="spellEnd"/>
      <w:r w:rsidRPr="00691DF9">
        <w:rPr>
          <w:rFonts w:ascii="Garamond" w:hAnsi="Garamond"/>
          <w:sz w:val="24"/>
          <w:szCs w:val="24"/>
        </w:rPr>
        <w:t xml:space="preserve"> et al., 2023).</w:t>
      </w:r>
    </w:p>
    <w:p w14:paraId="6DFB6ABE"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The third dimension, teaching and learning practices, concerns how the curriculum is enacted. Habituation, role modeling, reflection, constructive feedback, and assessment provide complementary means of supporting ethical development. The relevance of these strategies is reflected in research on classical moral education and contemporary Islamic character-education practices (</w:t>
      </w:r>
      <w:proofErr w:type="spellStart"/>
      <w:r w:rsidRPr="00691DF9">
        <w:rPr>
          <w:rFonts w:ascii="Garamond" w:hAnsi="Garamond"/>
          <w:sz w:val="24"/>
          <w:szCs w:val="24"/>
        </w:rPr>
        <w:t>Faizin</w:t>
      </w:r>
      <w:proofErr w:type="spellEnd"/>
      <w:r w:rsidRPr="00691DF9">
        <w:rPr>
          <w:rFonts w:ascii="Garamond" w:hAnsi="Garamond"/>
          <w:sz w:val="24"/>
          <w:szCs w:val="24"/>
        </w:rPr>
        <w:t xml:space="preserve">, 2025; </w:t>
      </w:r>
      <w:proofErr w:type="spellStart"/>
      <w:r w:rsidRPr="00691DF9">
        <w:rPr>
          <w:rFonts w:ascii="Garamond" w:hAnsi="Garamond"/>
          <w:sz w:val="24"/>
          <w:szCs w:val="24"/>
        </w:rPr>
        <w:t>Mawardi</w:t>
      </w:r>
      <w:proofErr w:type="spellEnd"/>
      <w:r w:rsidRPr="00691DF9">
        <w:rPr>
          <w:rFonts w:ascii="Garamond" w:hAnsi="Garamond"/>
          <w:sz w:val="24"/>
          <w:szCs w:val="24"/>
        </w:rPr>
        <w:t xml:space="preserve"> et al., 2021). Their application should be adapted to students’ developmental needs and the conditions of particular educational settings.</w:t>
      </w:r>
    </w:p>
    <w:p w14:paraId="613ADA55"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The fourth dimension, collaborative educational environments, recognizes that ethical development is influenced by more than classroom instruction. Family, school, and community can reinforce one another by providing consistent guidance and opportunities for students to practice ethical values. This dimension draws particularly on the tri-center framework discussed by </w:t>
      </w:r>
      <w:proofErr w:type="spellStart"/>
      <w:r w:rsidRPr="00691DF9">
        <w:rPr>
          <w:rFonts w:ascii="Garamond" w:hAnsi="Garamond"/>
          <w:sz w:val="24"/>
          <w:szCs w:val="24"/>
        </w:rPr>
        <w:t>Fathoni</w:t>
      </w:r>
      <w:proofErr w:type="spellEnd"/>
      <w:r w:rsidRPr="00691DF9">
        <w:rPr>
          <w:rFonts w:ascii="Garamond" w:hAnsi="Garamond"/>
          <w:sz w:val="24"/>
          <w:szCs w:val="24"/>
        </w:rPr>
        <w:t xml:space="preserve"> et al. (2026). It also accommodates contemporary digital environments, in which ethical conduct requires the application of religious values to new forms of communication and interaction (</w:t>
      </w:r>
      <w:proofErr w:type="spellStart"/>
      <w:r w:rsidRPr="00691DF9">
        <w:rPr>
          <w:rFonts w:ascii="Garamond" w:hAnsi="Garamond"/>
          <w:sz w:val="24"/>
          <w:szCs w:val="24"/>
        </w:rPr>
        <w:t>Martasila</w:t>
      </w:r>
      <w:proofErr w:type="spellEnd"/>
      <w:r w:rsidRPr="00691DF9">
        <w:rPr>
          <w:rFonts w:ascii="Garamond" w:hAnsi="Garamond"/>
          <w:sz w:val="24"/>
          <w:szCs w:val="24"/>
        </w:rPr>
        <w:t xml:space="preserve"> &amp; Abidin, 2025; Setiawan et al., 2025).</w:t>
      </w:r>
    </w:p>
    <w:p w14:paraId="29D6CA85"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The fifth dimension, intended educational outcomes, identifies the capacities the framework seeks to support: ethical understanding, self-discipline, virtuous conduct, and social responsibility. These are intended outcomes, not guaranteed results. Their development should be assessed through appropriate combinations of students’ ethical reasoning, participation, reflection, and observable conduct over time. Evaluating the framework empirically would require further research across different educational contexts.</w:t>
      </w:r>
    </w:p>
    <w:p w14:paraId="3024096A"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The framework presents a connected sequence from ethical foundations to educational outcomes. However, the dimensions should not be understood as a strictly linear process. Students’ experiences, teachers’ observations, family participation, and changing social conditions may require curriculum adjustments and revisions to teaching practices. Feedback from educational outcomes can therefore inform subsequent decisions about objectives, methods, and collaboration.</w:t>
      </w:r>
    </w:p>
    <w:p w14:paraId="7189EAB7" w14:textId="77777777" w:rsidR="001C1B50" w:rsidRPr="00691DF9"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 xml:space="preserve">In practical terms, the framework offers a way to connect the enduring concerns of classical Islamic ethical thought with contemporary educational needs without treating historical theories as ready-made solutions to every modern problem. Its contribution lies in organizing existing insights into a coherent educational structure that links religious values, pedagogical practice, institutional cooperation, and character development. Further empirical testing is needed to assess its feasibility, </w:t>
      </w:r>
      <w:r w:rsidRPr="00691DF9">
        <w:rPr>
          <w:rFonts w:ascii="Garamond" w:hAnsi="Garamond"/>
          <w:sz w:val="24"/>
          <w:szCs w:val="24"/>
        </w:rPr>
        <w:lastRenderedPageBreak/>
        <w:t>identify contextual variations, and determine whether its coordinated dimensions contribute to sustained improvements in students’ ethical understanding and conduct.</w:t>
      </w:r>
    </w:p>
    <w:p w14:paraId="52FE6C0F" w14:textId="0DDA6948" w:rsidR="001C1B50" w:rsidRDefault="001C1B50" w:rsidP="00691DF9">
      <w:pPr>
        <w:pStyle w:val="NoSpacing"/>
        <w:spacing w:line="276" w:lineRule="auto"/>
        <w:ind w:firstLine="567"/>
        <w:jc w:val="both"/>
        <w:rPr>
          <w:rFonts w:ascii="Garamond" w:hAnsi="Garamond"/>
          <w:sz w:val="24"/>
          <w:szCs w:val="24"/>
        </w:rPr>
      </w:pPr>
      <w:r w:rsidRPr="00691DF9">
        <w:rPr>
          <w:rFonts w:ascii="Garamond" w:hAnsi="Garamond"/>
          <w:sz w:val="24"/>
          <w:szCs w:val="24"/>
        </w:rPr>
        <w:t>Overall, the implications of classical and contemporary Muslim ethical thought for IRE extend across curriculum design, teaching methods, character formation, and educational collaboration. The central educational task is to connect religious knowledge with reflective understanding and consistent ethical practice. By combining classical insights into virtue and moral cultivation with contemporary attention to institutional environments and digital challenges, Islamic Religious Education can develop a more integrated approach to preparing students for responsible participation in personal, social, and technological contexts.</w:t>
      </w:r>
    </w:p>
    <w:p w14:paraId="40ABD5DD" w14:textId="77777777" w:rsidR="009C60A8" w:rsidRPr="009C60A8" w:rsidRDefault="009C60A8" w:rsidP="009C60A8">
      <w:pPr>
        <w:pStyle w:val="NoSpacing"/>
        <w:spacing w:line="276" w:lineRule="auto"/>
        <w:jc w:val="both"/>
        <w:rPr>
          <w:rFonts w:ascii="Garamond" w:hAnsi="Garamond"/>
          <w:b/>
          <w:bCs/>
          <w:sz w:val="24"/>
          <w:szCs w:val="24"/>
        </w:rPr>
      </w:pPr>
      <w:r w:rsidRPr="009C60A8">
        <w:rPr>
          <w:rFonts w:ascii="Garamond" w:hAnsi="Garamond"/>
          <w:b/>
          <w:bCs/>
          <w:sz w:val="24"/>
          <w:szCs w:val="24"/>
        </w:rPr>
        <w:t>DISCUSSION</w:t>
      </w:r>
    </w:p>
    <w:p w14:paraId="3E261171" w14:textId="60E23C89" w:rsidR="009C60A8" w:rsidRPr="009C60A8" w:rsidRDefault="009C60A8" w:rsidP="004A2F7E">
      <w:pPr>
        <w:pStyle w:val="NoSpacing"/>
        <w:numPr>
          <w:ilvl w:val="0"/>
          <w:numId w:val="5"/>
        </w:numPr>
        <w:spacing w:line="276" w:lineRule="auto"/>
        <w:ind w:left="357" w:hanging="357"/>
        <w:jc w:val="both"/>
        <w:rPr>
          <w:rFonts w:ascii="Garamond" w:hAnsi="Garamond"/>
          <w:b/>
          <w:bCs/>
          <w:sz w:val="24"/>
          <w:szCs w:val="24"/>
        </w:rPr>
      </w:pPr>
      <w:r w:rsidRPr="009C60A8">
        <w:rPr>
          <w:rFonts w:ascii="Garamond" w:hAnsi="Garamond"/>
          <w:b/>
          <w:bCs/>
          <w:sz w:val="24"/>
          <w:szCs w:val="24"/>
        </w:rPr>
        <w:t>Results Analysis</w:t>
      </w:r>
    </w:p>
    <w:p w14:paraId="1B3864D1" w14:textId="1354FACC" w:rsidR="009C60A8" w:rsidRPr="009C60A8" w:rsidRDefault="009C60A8" w:rsidP="004A2F7E">
      <w:pPr>
        <w:pStyle w:val="NoSpacing"/>
        <w:numPr>
          <w:ilvl w:val="0"/>
          <w:numId w:val="6"/>
        </w:numPr>
        <w:spacing w:line="276" w:lineRule="auto"/>
        <w:ind w:left="357" w:hanging="357"/>
        <w:jc w:val="both"/>
        <w:rPr>
          <w:rFonts w:ascii="Garamond" w:hAnsi="Garamond"/>
          <w:b/>
          <w:bCs/>
          <w:sz w:val="24"/>
          <w:szCs w:val="24"/>
        </w:rPr>
      </w:pPr>
      <w:r w:rsidRPr="009C60A8">
        <w:rPr>
          <w:rFonts w:ascii="Garamond" w:hAnsi="Garamond"/>
          <w:b/>
          <w:bCs/>
          <w:sz w:val="24"/>
          <w:szCs w:val="24"/>
        </w:rPr>
        <w:t>The Historical Dynamics and Conceptual Foundations of Islamic Ethical Thought</w:t>
      </w:r>
    </w:p>
    <w:p w14:paraId="5D805E1F"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 xml:space="preserve">This study aimed to examine the development of Islamic ethical thought from classical Muslim scholars to contemporary Muslim thinkers, identify the continuities and differences between their perspectives, and explain their implications for Islamic Religious Education (IRE). The findings indicate that Islamic ethical thought is best understood as an evolving intellectual tradition in which enduring moral principles are continually interpreted in response to changing educational and social circumstances. Three interconnected dimensions emerge from the analysis: the normative foundations of </w:t>
      </w:r>
      <w:proofErr w:type="spellStart"/>
      <w:r w:rsidRPr="009C60A8">
        <w:rPr>
          <w:rFonts w:ascii="Garamond" w:hAnsi="Garamond"/>
          <w:sz w:val="24"/>
          <w:szCs w:val="24"/>
        </w:rPr>
        <w:t>akhlāq</w:t>
      </w:r>
      <w:proofErr w:type="spellEnd"/>
      <w:r w:rsidRPr="009C60A8">
        <w:rPr>
          <w:rFonts w:ascii="Garamond" w:hAnsi="Garamond"/>
          <w:sz w:val="24"/>
          <w:szCs w:val="24"/>
        </w:rPr>
        <w:t>, the processes through which moral character is cultivated, and the contextual adaptation of ethical principles to contemporary educational challenges. These dimensions suggest that the development of Islamic ethical thought cannot be adequately explained as a linear transition from classical philosophy to modern educational practice. Rather, it involves the reinterpretation of established principles within new social, institutional, and technological environments.</w:t>
      </w:r>
    </w:p>
    <w:p w14:paraId="20A7ADF2"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 xml:space="preserve">A central analytical finding concerns the complementary relationship between rational reflection, spiritual cultivation, and moral habituation. The comparison of Ibn </w:t>
      </w:r>
      <w:proofErr w:type="spellStart"/>
      <w:r w:rsidRPr="009C60A8">
        <w:rPr>
          <w:rFonts w:ascii="Garamond" w:hAnsi="Garamond"/>
          <w:sz w:val="24"/>
          <w:szCs w:val="24"/>
        </w:rPr>
        <w:t>Miskawayh</w:t>
      </w:r>
      <w:proofErr w:type="spellEnd"/>
      <w:r w:rsidRPr="009C60A8">
        <w:rPr>
          <w:rFonts w:ascii="Garamond" w:hAnsi="Garamond"/>
          <w:sz w:val="24"/>
          <w:szCs w:val="24"/>
        </w:rPr>
        <w:t xml:space="preserve"> and Al-Ghazali illustrates that Islamic ethical thought encompasses different explanations of how individuals develop virtuous character. Rational reflection enables individuals to understand the reasons underlying moral judgments, whereas spiritual cultivation emphasizes the relationship between ethical conduct, religious consciousness, and the refinement of the inner self. Habituation connects these dimensions with everyday behavior by providing repeated opportunities to practice moral principles (</w:t>
      </w:r>
      <w:proofErr w:type="spellStart"/>
      <w:r w:rsidRPr="009C60A8">
        <w:rPr>
          <w:rFonts w:ascii="Garamond" w:hAnsi="Garamond"/>
          <w:sz w:val="24"/>
          <w:szCs w:val="24"/>
        </w:rPr>
        <w:t>Faizin</w:t>
      </w:r>
      <w:proofErr w:type="spellEnd"/>
      <w:r w:rsidRPr="009C60A8">
        <w:rPr>
          <w:rFonts w:ascii="Garamond" w:hAnsi="Garamond"/>
          <w:sz w:val="24"/>
          <w:szCs w:val="24"/>
        </w:rPr>
        <w:t xml:space="preserve">, 2025; </w:t>
      </w:r>
      <w:proofErr w:type="spellStart"/>
      <w:r w:rsidRPr="009C60A8">
        <w:rPr>
          <w:rFonts w:ascii="Garamond" w:hAnsi="Garamond"/>
          <w:sz w:val="24"/>
          <w:szCs w:val="24"/>
        </w:rPr>
        <w:t>Hermawan</w:t>
      </w:r>
      <w:proofErr w:type="spellEnd"/>
      <w:r w:rsidRPr="009C60A8">
        <w:rPr>
          <w:rFonts w:ascii="Garamond" w:hAnsi="Garamond"/>
          <w:sz w:val="24"/>
          <w:szCs w:val="24"/>
        </w:rPr>
        <w:t xml:space="preserve"> &amp; </w:t>
      </w:r>
      <w:proofErr w:type="spellStart"/>
      <w:r w:rsidRPr="009C60A8">
        <w:rPr>
          <w:rFonts w:ascii="Garamond" w:hAnsi="Garamond"/>
          <w:sz w:val="24"/>
          <w:szCs w:val="24"/>
        </w:rPr>
        <w:t>Sudin</w:t>
      </w:r>
      <w:proofErr w:type="spellEnd"/>
      <w:r w:rsidRPr="009C60A8">
        <w:rPr>
          <w:rFonts w:ascii="Garamond" w:hAnsi="Garamond"/>
          <w:sz w:val="24"/>
          <w:szCs w:val="24"/>
        </w:rPr>
        <w:t>, 2025). The significance of this relationship lies in the recognition that ethical knowledge, spiritual commitment, and observable conduct are related but not interchangeable. An individual may understand moral principles without consistently practicing them, just as repeated compliance may occur without reflective understanding or sincere moral commitment.</w:t>
      </w:r>
    </w:p>
    <w:p w14:paraId="5BC8D8DB"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This distinction provides a more nuanced interpretation of moral education. Rather than privileging either intellectual understanding or behavioral discipline, Islamic ethical thought can be interpreted as addressing the relationship between moral judgment, internal motivation, and habitual action. From this perspective, the educational value of classical scholarship lies not in prescribing a single universal teaching method but in providing complementary conceptual resources for understanding moral development. The relationship between religious commitment, ethical conduct, and educational purpose is also reflected in discussions of Al-Ghazali's moral education and the broader objectives of Islamic education (</w:t>
      </w:r>
      <w:proofErr w:type="spellStart"/>
      <w:r w:rsidRPr="009C60A8">
        <w:rPr>
          <w:rFonts w:ascii="Garamond" w:hAnsi="Garamond"/>
          <w:sz w:val="24"/>
          <w:szCs w:val="24"/>
        </w:rPr>
        <w:t>Muhsi</w:t>
      </w:r>
      <w:proofErr w:type="spellEnd"/>
      <w:r w:rsidRPr="009C60A8">
        <w:rPr>
          <w:rFonts w:ascii="Garamond" w:hAnsi="Garamond"/>
          <w:sz w:val="24"/>
          <w:szCs w:val="24"/>
        </w:rPr>
        <w:t xml:space="preserve"> &amp; </w:t>
      </w:r>
      <w:proofErr w:type="spellStart"/>
      <w:r w:rsidRPr="009C60A8">
        <w:rPr>
          <w:rFonts w:ascii="Garamond" w:hAnsi="Garamond"/>
          <w:sz w:val="24"/>
          <w:szCs w:val="24"/>
        </w:rPr>
        <w:t>Nadlif</w:t>
      </w:r>
      <w:proofErr w:type="spellEnd"/>
      <w:r w:rsidRPr="009C60A8">
        <w:rPr>
          <w:rFonts w:ascii="Garamond" w:hAnsi="Garamond"/>
          <w:sz w:val="24"/>
          <w:szCs w:val="24"/>
        </w:rPr>
        <w:t xml:space="preserve">, 2021; </w:t>
      </w:r>
      <w:proofErr w:type="spellStart"/>
      <w:r w:rsidRPr="009C60A8">
        <w:rPr>
          <w:rFonts w:ascii="Garamond" w:hAnsi="Garamond"/>
          <w:sz w:val="24"/>
          <w:szCs w:val="24"/>
        </w:rPr>
        <w:t>Mukhlis</w:t>
      </w:r>
      <w:proofErr w:type="spellEnd"/>
      <w:r w:rsidRPr="009C60A8">
        <w:rPr>
          <w:rFonts w:ascii="Garamond" w:hAnsi="Garamond"/>
          <w:sz w:val="24"/>
          <w:szCs w:val="24"/>
        </w:rPr>
        <w:t xml:space="preserve"> et al., </w:t>
      </w:r>
      <w:r w:rsidRPr="009C60A8">
        <w:rPr>
          <w:rFonts w:ascii="Garamond" w:hAnsi="Garamond"/>
          <w:sz w:val="24"/>
          <w:szCs w:val="24"/>
        </w:rPr>
        <w:lastRenderedPageBreak/>
        <w:t xml:space="preserve">2024). These perspectives support an understanding of </w:t>
      </w:r>
      <w:proofErr w:type="spellStart"/>
      <w:r w:rsidRPr="009C60A8">
        <w:rPr>
          <w:rFonts w:ascii="Garamond" w:hAnsi="Garamond"/>
          <w:sz w:val="24"/>
          <w:szCs w:val="24"/>
        </w:rPr>
        <w:t>akhlāq</w:t>
      </w:r>
      <w:proofErr w:type="spellEnd"/>
      <w:r w:rsidRPr="009C60A8">
        <w:rPr>
          <w:rFonts w:ascii="Garamond" w:hAnsi="Garamond"/>
          <w:sz w:val="24"/>
          <w:szCs w:val="24"/>
        </w:rPr>
        <w:t xml:space="preserve"> as a multidimensional educational concern involving the formation of the person as well as the consequences of personal conduct for others.</w:t>
      </w:r>
    </w:p>
    <w:p w14:paraId="43342F63"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The findings further indicate that contemporary reinterpretations of Islamic ethics primarily involve changes in educational application rather than the wholesale replacement of classical moral principles. Contemporary discussions address digital communication, online learning, generational differences, and collaboration among families, schools, and communities (</w:t>
      </w:r>
      <w:proofErr w:type="spellStart"/>
      <w:r w:rsidRPr="009C60A8">
        <w:rPr>
          <w:rFonts w:ascii="Garamond" w:hAnsi="Garamond"/>
          <w:sz w:val="24"/>
          <w:szCs w:val="24"/>
        </w:rPr>
        <w:t>Fathoni</w:t>
      </w:r>
      <w:proofErr w:type="spellEnd"/>
      <w:r w:rsidRPr="009C60A8">
        <w:rPr>
          <w:rFonts w:ascii="Garamond" w:hAnsi="Garamond"/>
          <w:sz w:val="24"/>
          <w:szCs w:val="24"/>
        </w:rPr>
        <w:t xml:space="preserve"> et al., 2026; </w:t>
      </w:r>
      <w:proofErr w:type="spellStart"/>
      <w:r w:rsidRPr="009C60A8">
        <w:rPr>
          <w:rFonts w:ascii="Garamond" w:hAnsi="Garamond"/>
          <w:sz w:val="24"/>
          <w:szCs w:val="24"/>
        </w:rPr>
        <w:t>Martasila</w:t>
      </w:r>
      <w:proofErr w:type="spellEnd"/>
      <w:r w:rsidRPr="009C60A8">
        <w:rPr>
          <w:rFonts w:ascii="Garamond" w:hAnsi="Garamond"/>
          <w:sz w:val="24"/>
          <w:szCs w:val="24"/>
        </w:rPr>
        <w:t xml:space="preserve"> &amp; Abidin, 2025). These developments require educators to reconsider how ethical principles are communicated, practiced, and reinforced. For example, self-discipline can be applied to responsible technology use, while respect and social responsibility can inform interactions in digital environments. Such applications should be understood as contemporary educational interpretations of established ethical concerns, not as claims that classical scholars directly addressed modern technologies.</w:t>
      </w:r>
    </w:p>
    <w:p w14:paraId="440ABD09"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These findings directly address the first research question concerning the development of Islamic ethical thought from classical scholars to contemporary Muslim thinkers. They indicate that this development involves both continuity in normative orientation and transformation in pedagogical application. Theoretically, the relationship can be understood through a distinction between ethical foundations and educational enactment: religious values and moral virtues provide the normative orientation, while teaching methods and institutional arrangements determine how these values are interpreted and practiced within particular contexts. This interpretation offers a conceptual synthesis of classical ethical thought and contemporary educational concerns without assuming that all Muslim scholars share identical philosophical positions.</w:t>
      </w:r>
    </w:p>
    <w:p w14:paraId="6B02D477" w14:textId="70E2C0E7" w:rsidR="009C60A8" w:rsidRPr="009C60A8" w:rsidRDefault="009C60A8" w:rsidP="004A2F7E">
      <w:pPr>
        <w:pStyle w:val="NoSpacing"/>
        <w:numPr>
          <w:ilvl w:val="0"/>
          <w:numId w:val="6"/>
        </w:numPr>
        <w:spacing w:line="276" w:lineRule="auto"/>
        <w:ind w:left="357" w:hanging="357"/>
        <w:jc w:val="both"/>
        <w:rPr>
          <w:rFonts w:ascii="Garamond" w:hAnsi="Garamond"/>
          <w:b/>
          <w:bCs/>
          <w:sz w:val="24"/>
          <w:szCs w:val="24"/>
        </w:rPr>
      </w:pPr>
      <w:r w:rsidRPr="009C60A8">
        <w:rPr>
          <w:rFonts w:ascii="Garamond" w:hAnsi="Garamond"/>
          <w:b/>
          <w:bCs/>
          <w:sz w:val="24"/>
          <w:szCs w:val="24"/>
        </w:rPr>
        <w:t>Continuities, Differences, and the Processes of Moral Formation</w:t>
      </w:r>
    </w:p>
    <w:p w14:paraId="669DBD08"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 xml:space="preserve">The second research question concerned the similarities and differences between classical and contemporary Muslim ethical thought. The findings reveal that the strongest continuity lies in the centrality of moral character, religious responsibility, and the cultivation of virtuous conduct. However, differences emerge in the explanations of moral development and the educational environments considered necessary to support it. Classical perspectives represented by Ibn </w:t>
      </w:r>
      <w:proofErr w:type="spellStart"/>
      <w:r w:rsidRPr="009C60A8">
        <w:rPr>
          <w:rFonts w:ascii="Garamond" w:hAnsi="Garamond"/>
          <w:sz w:val="24"/>
          <w:szCs w:val="24"/>
        </w:rPr>
        <w:t>Miskawayh</w:t>
      </w:r>
      <w:proofErr w:type="spellEnd"/>
      <w:r w:rsidRPr="009C60A8">
        <w:rPr>
          <w:rFonts w:ascii="Garamond" w:hAnsi="Garamond"/>
          <w:sz w:val="24"/>
          <w:szCs w:val="24"/>
        </w:rPr>
        <w:t xml:space="preserve"> and Al-Ghazali emphasize complementary dimensions of rational guidance, habituation, and spiritual purification, whereas contemporary educational discussions give additional attention to institutional practices, social relationships, and the challenges of digital life (</w:t>
      </w:r>
      <w:proofErr w:type="spellStart"/>
      <w:r w:rsidRPr="009C60A8">
        <w:rPr>
          <w:rFonts w:ascii="Garamond" w:hAnsi="Garamond"/>
          <w:sz w:val="24"/>
          <w:szCs w:val="24"/>
        </w:rPr>
        <w:t>Faizin</w:t>
      </w:r>
      <w:proofErr w:type="spellEnd"/>
      <w:r w:rsidRPr="009C60A8">
        <w:rPr>
          <w:rFonts w:ascii="Garamond" w:hAnsi="Garamond"/>
          <w:sz w:val="24"/>
          <w:szCs w:val="24"/>
        </w:rPr>
        <w:t xml:space="preserve">, 2025; </w:t>
      </w:r>
      <w:proofErr w:type="spellStart"/>
      <w:r w:rsidRPr="009C60A8">
        <w:rPr>
          <w:rFonts w:ascii="Garamond" w:hAnsi="Garamond"/>
          <w:sz w:val="24"/>
          <w:szCs w:val="24"/>
        </w:rPr>
        <w:t>Hermawan</w:t>
      </w:r>
      <w:proofErr w:type="spellEnd"/>
      <w:r w:rsidRPr="009C60A8">
        <w:rPr>
          <w:rFonts w:ascii="Garamond" w:hAnsi="Garamond"/>
          <w:sz w:val="24"/>
          <w:szCs w:val="24"/>
        </w:rPr>
        <w:t xml:space="preserve"> &amp; </w:t>
      </w:r>
      <w:proofErr w:type="spellStart"/>
      <w:r w:rsidRPr="009C60A8">
        <w:rPr>
          <w:rFonts w:ascii="Garamond" w:hAnsi="Garamond"/>
          <w:sz w:val="24"/>
          <w:szCs w:val="24"/>
        </w:rPr>
        <w:t>Sudin</w:t>
      </w:r>
      <w:proofErr w:type="spellEnd"/>
      <w:r w:rsidRPr="009C60A8">
        <w:rPr>
          <w:rFonts w:ascii="Garamond" w:hAnsi="Garamond"/>
          <w:sz w:val="24"/>
          <w:szCs w:val="24"/>
        </w:rPr>
        <w:t>, 2025; Setiawan et al., 2025). These differences are better interpreted as variations in analytical emphasis than as evidence of a fundamental opposition between classical and contemporary thought.</w:t>
      </w:r>
    </w:p>
    <w:p w14:paraId="4C69DA03"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The distinction is particularly important when examining habituation, exemplary conduct, and self-discipline. Habituation provides opportunities for repeated moral practice, exemplary conduct makes ethical principles visible through the behavior of teachers and other significant figures, and self-discipline concerns the learner's capacity to sustain appropriate conduct beyond immediate supervision. These processes are conceptually interdependent. Habituation without reflection may produce routine compliance, while moral instruction without practical reinforcement may fail to translate knowledge into consistent action. Similarly, exemplary conduct may lose its educational credibility when educators' behavior contradicts the values they communicate. The analytical implication is that moral formation requires coherence between what learners are taught, what they observe, and what they repeatedly practice.</w:t>
      </w:r>
    </w:p>
    <w:p w14:paraId="13DD7378"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lastRenderedPageBreak/>
        <w:t>This interpretation extends the discussion beyond the assumption that character education can be achieved through the transmission of religious knowledge alone. Instead, it positions ethical development as a process involving the interaction of cognition, motivation, practice, and social reinforcement. The relevance of this interpretation is supported by research examining role modeling, habituation, instructional innovation, reinforcement, and assessment in Islamic-value-based character education (</w:t>
      </w:r>
      <w:proofErr w:type="spellStart"/>
      <w:r w:rsidRPr="009C60A8">
        <w:rPr>
          <w:rFonts w:ascii="Garamond" w:hAnsi="Garamond"/>
          <w:sz w:val="24"/>
          <w:szCs w:val="24"/>
        </w:rPr>
        <w:t>Mawardi</w:t>
      </w:r>
      <w:proofErr w:type="spellEnd"/>
      <w:r w:rsidRPr="009C60A8">
        <w:rPr>
          <w:rFonts w:ascii="Garamond" w:hAnsi="Garamond"/>
          <w:sz w:val="24"/>
          <w:szCs w:val="24"/>
        </w:rPr>
        <w:t xml:space="preserve"> et al., 2021). Nevertheless, these elements should not be treated as universally effective techniques independent of context. Their educational value depends on how they are implemented, whether learners understand their moral significance, and whether the surrounding educational environment consistently supports the intended values.</w:t>
      </w:r>
    </w:p>
    <w:p w14:paraId="31A375EC"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A further synthesis concerns the relationship between individual moral development and the social environment. Contemporary discussions of family, school, and community suggest that ethical dispositions are formed through interconnected experiences rather than through classroom instruction alone (</w:t>
      </w:r>
      <w:proofErr w:type="spellStart"/>
      <w:r w:rsidRPr="009C60A8">
        <w:rPr>
          <w:rFonts w:ascii="Garamond" w:hAnsi="Garamond"/>
          <w:sz w:val="24"/>
          <w:szCs w:val="24"/>
        </w:rPr>
        <w:t>Fathoni</w:t>
      </w:r>
      <w:proofErr w:type="spellEnd"/>
      <w:r w:rsidRPr="009C60A8">
        <w:rPr>
          <w:rFonts w:ascii="Garamond" w:hAnsi="Garamond"/>
          <w:sz w:val="24"/>
          <w:szCs w:val="24"/>
        </w:rPr>
        <w:t xml:space="preserve"> et al., 2026). This insight helps explain why character education requires coordination among educational actors. Families provide everyday examples and routines, schools offer structured opportunities for ethical learning, and communities provide broader contexts in which social responsibility can be practiced. These environments may reinforce one another, but they may also communicate conflicting expectations. Accordingly, the formation of </w:t>
      </w:r>
      <w:proofErr w:type="spellStart"/>
      <w:r w:rsidRPr="009C60A8">
        <w:rPr>
          <w:rFonts w:ascii="Garamond" w:hAnsi="Garamond"/>
          <w:sz w:val="24"/>
          <w:szCs w:val="24"/>
        </w:rPr>
        <w:t>akhlāq</w:t>
      </w:r>
      <w:proofErr w:type="spellEnd"/>
      <w:r w:rsidRPr="009C60A8">
        <w:rPr>
          <w:rFonts w:ascii="Garamond" w:hAnsi="Garamond"/>
          <w:sz w:val="24"/>
          <w:szCs w:val="24"/>
        </w:rPr>
        <w:t xml:space="preserve"> depends not only on the quality of individual instruction but also on the coherence of the relationships through which moral values are communicated and enacted.</w:t>
      </w:r>
    </w:p>
    <w:p w14:paraId="66EFA278"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The digital context makes this relationship particularly significant. Ethical responsibility increasingly involves decisions about online communication, information sharing, respectful disagreement, and self-regulation. Although these situations differ from those encountered by classical scholars, they can be examined through established concerns with responsible conduct, discipline, and consideration for others. Contemporary Islamic ethical education therefore requires contextual interpretation rather than the mechanical transfer of historical prescriptions to new circumstances. This approach preserves the conceptual relevance of classical thought while acknowledging that contemporary moral problems may require new pedagogical responses.</w:t>
      </w:r>
    </w:p>
    <w:p w14:paraId="1238B73A"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Taken together, the findings answer the second research question by identifying both continuity in ethical purposes and variation in the mechanisms and contexts of moral formation. They also suggest a conceptual relationship among three processes: understanding ethical principles, internalizing moral commitments, and enacting responsible conduct. These processes are mutually reinforcing rather than strictly sequential. Ethical understanding can guide practice, repeated practice can strengthen moral dispositions, and reflection on experience can deepen understanding. This reciprocal relationship constitutes an important analytical contribution because it connects the philosophical dimensions of Islamic ethics with the educational processes through which moral character may be cultivated.</w:t>
      </w:r>
    </w:p>
    <w:p w14:paraId="24D9F98C" w14:textId="1AAD92A1" w:rsidR="009C60A8" w:rsidRPr="009C60A8" w:rsidRDefault="009C60A8" w:rsidP="004A2F7E">
      <w:pPr>
        <w:pStyle w:val="NoSpacing"/>
        <w:numPr>
          <w:ilvl w:val="0"/>
          <w:numId w:val="6"/>
        </w:numPr>
        <w:spacing w:line="276" w:lineRule="auto"/>
        <w:ind w:left="357" w:hanging="357"/>
        <w:jc w:val="both"/>
        <w:rPr>
          <w:rFonts w:ascii="Garamond" w:hAnsi="Garamond"/>
          <w:b/>
          <w:bCs/>
          <w:sz w:val="24"/>
          <w:szCs w:val="24"/>
        </w:rPr>
      </w:pPr>
      <w:r w:rsidRPr="009C60A8">
        <w:rPr>
          <w:rFonts w:ascii="Garamond" w:hAnsi="Garamond"/>
          <w:b/>
          <w:bCs/>
          <w:sz w:val="24"/>
          <w:szCs w:val="24"/>
        </w:rPr>
        <w:t>Educational Implications and an Integrated Conceptual Framework for IRE</w:t>
      </w:r>
    </w:p>
    <w:p w14:paraId="594742A7"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 xml:space="preserve">The third research question concerned the implications of classical and contemporary Islamic ethical thought for Islamic Religious Education. The findings suggest that IRE should be understood as a process of connecting religious knowledge with moral reasoning, spiritual development, habitual practice, and social responsibility. This interpretation has implications for curriculum objectives, teaching methods, character assessment, and collaboration among educational environments. Its central proposition is that ethical education becomes more coherent when the principles informing the curriculum are aligned with the methods used to teach them, the </w:t>
      </w:r>
      <w:r w:rsidRPr="009C60A8">
        <w:rPr>
          <w:rFonts w:ascii="Garamond" w:hAnsi="Garamond"/>
          <w:sz w:val="24"/>
          <w:szCs w:val="24"/>
        </w:rPr>
        <w:lastRenderedPageBreak/>
        <w:t>behavior modeled by educators, and the opportunities provided for learners to practice them in everyday situations.</w:t>
      </w:r>
    </w:p>
    <w:p w14:paraId="1DD4F5DC"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At the curricular level, this approach requires learning objectives that extend beyond the recall of religious concepts. Students should also be encouraged to explain the ethical significance of religious teachings, evaluate moral situations, and consider the consequences of their decisions for other people. Lessons concerning worship, for example, can connect religious understanding with discipline, responsibility, and social concern. Similarly, discussions of Islamic moral teachings can incorporate situations involving honesty, fairness, respectful disagreement, and responsible digital communication. These examples represent proposed educational applications derived from the conceptual synthesis, rather than empirically verified outcomes of a particular curriculum. Their underlying rationale is that religious knowledge acquires practical educational significance when learners can connect it with ethical judgment and everyday conduct.</w:t>
      </w:r>
    </w:p>
    <w:p w14:paraId="0DE8AFB3"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At the pedagogical level, the findings support the integration of habituation, exemplary conduct, and reflective learning. Habituation creates structured opportunities to practice ethical behavior, while role modeling demonstrates how moral principles can be enacted in concrete situations. Reflection enables learners to examine the reasons behind their actions and consider their consequences. Constructive feedback can connect these processes by helping learners recognize progress and identify areas requiring further development. This integrated approach is consistent with the importance attributed to role modeling, habituation, and reinforcement in character education (</w:t>
      </w:r>
      <w:proofErr w:type="spellStart"/>
      <w:r w:rsidRPr="009C60A8">
        <w:rPr>
          <w:rFonts w:ascii="Garamond" w:hAnsi="Garamond"/>
          <w:sz w:val="24"/>
          <w:szCs w:val="24"/>
        </w:rPr>
        <w:t>Mawardi</w:t>
      </w:r>
      <w:proofErr w:type="spellEnd"/>
      <w:r w:rsidRPr="009C60A8">
        <w:rPr>
          <w:rFonts w:ascii="Garamond" w:hAnsi="Garamond"/>
          <w:sz w:val="24"/>
          <w:szCs w:val="24"/>
        </w:rPr>
        <w:t xml:space="preserve"> et al., 2021). However, assessment should not equate isolated acts of compliance with the internalization of moral values. Instead, it should consider multiple forms of evidence, including ethical reasoning, reflective responses, participation, and patterns of conduct over time.</w:t>
      </w:r>
    </w:p>
    <w:p w14:paraId="32A9110A"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 xml:space="preserve">The findings also indicate that the implementation of IRE requires attention to the wider environments in which learners develop. Collaboration among families, schools, and communities can reinforce the ethical principles taught in formal instruction, particularly when learners encounter moral questions beyond the classroom. The family-school-community framework discussed by </w:t>
      </w:r>
      <w:proofErr w:type="spellStart"/>
      <w:r w:rsidRPr="009C60A8">
        <w:rPr>
          <w:rFonts w:ascii="Garamond" w:hAnsi="Garamond"/>
          <w:sz w:val="24"/>
          <w:szCs w:val="24"/>
        </w:rPr>
        <w:t>Fathoni</w:t>
      </w:r>
      <w:proofErr w:type="spellEnd"/>
      <w:r w:rsidRPr="009C60A8">
        <w:rPr>
          <w:rFonts w:ascii="Garamond" w:hAnsi="Garamond"/>
          <w:sz w:val="24"/>
          <w:szCs w:val="24"/>
        </w:rPr>
        <w:t xml:space="preserve"> et al. (2026) provides a conceptual basis for understanding this shared responsibility. In contemporary settings, such collaboration may also include guidance on digital conduct, responsible technology use, and respectful participation in online communities. Nevertheless, cooperation should not be assumed to produce identical results across all educational settings; its effectiveness may depend on institutional resources, family participation, community expectations, and the consistency of educational practices.</w:t>
      </w:r>
    </w:p>
    <w:p w14:paraId="1AFF6A27"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The principal theoretical contribution of this study is an integrated conceptual framework linking ethical foundations, educational enactment, and intended moral outcomes. The framework brings together three analytical levels. The first concerns the normative foundations of Islamic ethics, including religious values, virtue, rational reflection, and spiritual cultivation. The second concerns the processes through which these foundations are translated into educational practice, including curriculum design, habituation, role modeling, reflection, assessment, and collaboration among educational environments. The third concerns the intended outcomes of ethical education, particularly ethical understanding, self-discipline, virtuous conduct, and social responsibility. Feedback from educational practice and learners' experiences can inform adjustments to curriculum and pedagogy, making the framework iterative rather than strictly linear.</w:t>
      </w:r>
    </w:p>
    <w:p w14:paraId="53981283"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 xml:space="preserve">The framework's contribution lies in clarifying the relationships among elements that are frequently examined separately. Classical ethical thought provides resources for explaining why </w:t>
      </w:r>
      <w:r w:rsidRPr="009C60A8">
        <w:rPr>
          <w:rFonts w:ascii="Garamond" w:hAnsi="Garamond"/>
          <w:sz w:val="24"/>
          <w:szCs w:val="24"/>
        </w:rPr>
        <w:lastRenderedPageBreak/>
        <w:t>moral formation matters and how it may be understood, while contemporary educational research helps identify the contexts and practices through which ethical principles can be addressed in present-day learning environments. The proposed synthesis does not claim that the framework has already been empirically validated or that the cited studies establish causal relationships among its components. Rather, it offers a theoretically informed structure for guiding curriculum development, teacher practice, and future empirical investigation.</w:t>
      </w:r>
    </w:p>
    <w:p w14:paraId="0C0B1C36"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Several limitations should be acknowledged. First, the study was based on library research and therefore depended on the scope, accessibility, and interpretive quality of the selected literature. Second, the analysis drew on studies with different theoretical orientations and educational contexts, limiting the extent to which their arguments could be treated as directly comparable. Third, the contemporary literature reviewed does not establish that particular educational strategies consistently produce long-term improvements in students' moral behavior. Finally, the proposed framework remains conceptual and requires empirical evaluation across different educational levels, cultural settings, and institutional environments.</w:t>
      </w:r>
    </w:p>
    <w:p w14:paraId="2145F752"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Future research could examine how the proposed framework operates in specific IRE contexts through classroom observations, interviews with teachers and students, curriculum analysis, and longitudinal assessment of character development. Comparative studies could also investigate how different combinations of rational reflection, spiritual cultivation, habituation, and family-school-community collaboration influence ethical learning. Such research would help distinguish the conceptual plausibility of the framework from its practical effectiveness.</w:t>
      </w:r>
    </w:p>
    <w:p w14:paraId="142DC501"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Overall, the findings indicate that the contemporary relevance of Islamic ethical thought depends on maintaining a productive relationship between its normative foundations and context-sensitive educational application. By integrating ethical understanding, spiritual awareness, habitual practice, reflective judgment, and social responsibility, IRE can move toward a more coherent approach to moral formation. The proposed framework provides a basis for that integration while recognizing the need for further empirical research to establish its feasibility and educational outcomes.</w:t>
      </w:r>
    </w:p>
    <w:p w14:paraId="65B8B1BA" w14:textId="65E59A20" w:rsidR="009C60A8" w:rsidRPr="009C60A8" w:rsidRDefault="009C60A8" w:rsidP="004A2F7E">
      <w:pPr>
        <w:pStyle w:val="NoSpacing"/>
        <w:numPr>
          <w:ilvl w:val="0"/>
          <w:numId w:val="5"/>
        </w:numPr>
        <w:spacing w:line="276" w:lineRule="auto"/>
        <w:ind w:left="357" w:hanging="357"/>
        <w:jc w:val="both"/>
        <w:rPr>
          <w:rFonts w:ascii="Garamond" w:hAnsi="Garamond"/>
          <w:b/>
          <w:bCs/>
          <w:sz w:val="24"/>
          <w:szCs w:val="24"/>
        </w:rPr>
      </w:pPr>
      <w:r w:rsidRPr="009C60A8">
        <w:rPr>
          <w:rFonts w:ascii="Garamond" w:hAnsi="Garamond"/>
          <w:b/>
          <w:bCs/>
          <w:sz w:val="24"/>
          <w:szCs w:val="24"/>
        </w:rPr>
        <w:t>Comparison with Previous Studies</w:t>
      </w:r>
    </w:p>
    <w:p w14:paraId="79871BB0"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 xml:space="preserve">The findings of this study are broadly consistent with previous research emphasizing the importance of moral formation, habituation, and the integration of Islamic values into educational practice. However, the present study extends this discussion by bringing classical ethical thought into dialogue with contemporary educational concerns within a single conceptual analysis. Previous studies have frequently examined particular scholars, instructional strategies, or institutional contexts, whereas this study considers how the intellectual foundations of </w:t>
      </w:r>
      <w:proofErr w:type="spellStart"/>
      <w:r w:rsidRPr="009C60A8">
        <w:rPr>
          <w:rFonts w:ascii="Garamond" w:hAnsi="Garamond"/>
          <w:sz w:val="24"/>
          <w:szCs w:val="24"/>
        </w:rPr>
        <w:t>akhlāq</w:t>
      </w:r>
      <w:proofErr w:type="spellEnd"/>
      <w:r w:rsidRPr="009C60A8">
        <w:rPr>
          <w:rFonts w:ascii="Garamond" w:hAnsi="Garamond"/>
          <w:sz w:val="24"/>
          <w:szCs w:val="24"/>
        </w:rPr>
        <w:t xml:space="preserve"> relate to contemporary pedagogical approaches and the broader objectives of Islamic Religious Education (IRE). This distinction provides a basis for identifying both continuity with existing scholarship and the additional conceptual contribution of the present study.</w:t>
      </w:r>
    </w:p>
    <w:p w14:paraId="1C08936A"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 xml:space="preserve">The present findings are consistent with research highlighting the continuing relevance of Al-Ghazali's ethical and educational thought. </w:t>
      </w:r>
      <w:proofErr w:type="spellStart"/>
      <w:r w:rsidRPr="009C60A8">
        <w:rPr>
          <w:rFonts w:ascii="Garamond" w:hAnsi="Garamond"/>
          <w:sz w:val="24"/>
          <w:szCs w:val="24"/>
        </w:rPr>
        <w:t>Muhsi</w:t>
      </w:r>
      <w:proofErr w:type="spellEnd"/>
      <w:r w:rsidRPr="009C60A8">
        <w:rPr>
          <w:rFonts w:ascii="Garamond" w:hAnsi="Garamond"/>
          <w:sz w:val="24"/>
          <w:szCs w:val="24"/>
        </w:rPr>
        <w:t xml:space="preserve"> and </w:t>
      </w:r>
      <w:proofErr w:type="spellStart"/>
      <w:r w:rsidRPr="009C60A8">
        <w:rPr>
          <w:rFonts w:ascii="Garamond" w:hAnsi="Garamond"/>
          <w:sz w:val="24"/>
          <w:szCs w:val="24"/>
        </w:rPr>
        <w:t>Nadlif</w:t>
      </w:r>
      <w:proofErr w:type="spellEnd"/>
      <w:r w:rsidRPr="009C60A8">
        <w:rPr>
          <w:rFonts w:ascii="Garamond" w:hAnsi="Garamond"/>
          <w:sz w:val="24"/>
          <w:szCs w:val="24"/>
        </w:rPr>
        <w:t xml:space="preserve"> (2021) examined Al-Ghazali's perspective on moral education and its relevance to contemporary Islamic education, while Faqih and </w:t>
      </w:r>
      <w:proofErr w:type="spellStart"/>
      <w:r w:rsidRPr="009C60A8">
        <w:rPr>
          <w:rFonts w:ascii="Garamond" w:hAnsi="Garamond"/>
          <w:sz w:val="24"/>
          <w:szCs w:val="24"/>
        </w:rPr>
        <w:t>Widiyastuti</w:t>
      </w:r>
      <w:proofErr w:type="spellEnd"/>
      <w:r w:rsidRPr="009C60A8">
        <w:rPr>
          <w:rFonts w:ascii="Garamond" w:hAnsi="Garamond"/>
          <w:sz w:val="24"/>
          <w:szCs w:val="24"/>
        </w:rPr>
        <w:t xml:space="preserve"> (2021) discussed his educational philosophy in relation to Islamic character formation. Both lines of inquiry support the view that ethical education involves more than transmitting normative knowledge; it also concerns the cultivation of moral dispositions and the development of responsible conduct. The present study reinforces this understanding by situating </w:t>
      </w:r>
      <w:r w:rsidRPr="009C60A8">
        <w:rPr>
          <w:rFonts w:ascii="Garamond" w:hAnsi="Garamond"/>
          <w:sz w:val="24"/>
          <w:szCs w:val="24"/>
        </w:rPr>
        <w:lastRenderedPageBreak/>
        <w:t>Al-Ghazali's contribution within a broader comparison of classical ethical foundations and contemporary educational applications.</w:t>
      </w:r>
    </w:p>
    <w:p w14:paraId="100C1CFB"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 xml:space="preserve">The findings also correspond with </w:t>
      </w:r>
      <w:proofErr w:type="spellStart"/>
      <w:r w:rsidRPr="009C60A8">
        <w:rPr>
          <w:rFonts w:ascii="Garamond" w:hAnsi="Garamond"/>
          <w:sz w:val="24"/>
          <w:szCs w:val="24"/>
        </w:rPr>
        <w:t>Faizin's</w:t>
      </w:r>
      <w:proofErr w:type="spellEnd"/>
      <w:r w:rsidRPr="009C60A8">
        <w:rPr>
          <w:rFonts w:ascii="Garamond" w:hAnsi="Garamond"/>
          <w:sz w:val="24"/>
          <w:szCs w:val="24"/>
        </w:rPr>
        <w:t xml:space="preserve"> (2025) and </w:t>
      </w:r>
      <w:proofErr w:type="spellStart"/>
      <w:r w:rsidRPr="009C60A8">
        <w:rPr>
          <w:rFonts w:ascii="Garamond" w:hAnsi="Garamond"/>
          <w:sz w:val="24"/>
          <w:szCs w:val="24"/>
        </w:rPr>
        <w:t>Hermawan</w:t>
      </w:r>
      <w:proofErr w:type="spellEnd"/>
      <w:r w:rsidRPr="009C60A8">
        <w:rPr>
          <w:rFonts w:ascii="Garamond" w:hAnsi="Garamond"/>
          <w:sz w:val="24"/>
          <w:szCs w:val="24"/>
        </w:rPr>
        <w:t xml:space="preserve"> and </w:t>
      </w:r>
      <w:proofErr w:type="spellStart"/>
      <w:r w:rsidRPr="009C60A8">
        <w:rPr>
          <w:rFonts w:ascii="Garamond" w:hAnsi="Garamond"/>
          <w:sz w:val="24"/>
          <w:szCs w:val="24"/>
        </w:rPr>
        <w:t>Sudin's</w:t>
      </w:r>
      <w:proofErr w:type="spellEnd"/>
      <w:r w:rsidRPr="009C60A8">
        <w:rPr>
          <w:rFonts w:ascii="Garamond" w:hAnsi="Garamond"/>
          <w:sz w:val="24"/>
          <w:szCs w:val="24"/>
        </w:rPr>
        <w:t xml:space="preserve"> (2025) comparative discussions of Ibn </w:t>
      </w:r>
      <w:proofErr w:type="spellStart"/>
      <w:r w:rsidRPr="009C60A8">
        <w:rPr>
          <w:rFonts w:ascii="Garamond" w:hAnsi="Garamond"/>
          <w:sz w:val="24"/>
          <w:szCs w:val="24"/>
        </w:rPr>
        <w:t>Miskawayh</w:t>
      </w:r>
      <w:proofErr w:type="spellEnd"/>
      <w:r w:rsidRPr="009C60A8">
        <w:rPr>
          <w:rFonts w:ascii="Garamond" w:hAnsi="Garamond"/>
          <w:sz w:val="24"/>
          <w:szCs w:val="24"/>
        </w:rPr>
        <w:t xml:space="preserve"> and Al-Ghazali. These studies identify important differences in their emphases on rational reflection, habituation, spirituality, and purification of the soul. The present analysis develops this comparison by interpreting these dimensions as complementary analytical resources for understanding moral development, rather than as mutually exclusive educational approaches. Rational reflection can support learners' understanding of ethical judgments, spiritual cultivation can strengthen the religious orientation of moral conduct, and habituation can provide opportunities to translate moral understanding into practice. This interpretation offers a more integrated account of their educational relevance while preserving the distinctive emphases associated with each scholar.</w:t>
      </w:r>
    </w:p>
    <w:p w14:paraId="3BC089FF"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 xml:space="preserve">Nevertheless, the present study differs from research that concentrates primarily on reconstructing the educational ideas of individual classical thinkers. Its focus is not simply to establish the relevance of Al-Ghazali or Ibn </w:t>
      </w:r>
      <w:proofErr w:type="spellStart"/>
      <w:r w:rsidRPr="009C60A8">
        <w:rPr>
          <w:rFonts w:ascii="Garamond" w:hAnsi="Garamond"/>
          <w:sz w:val="24"/>
          <w:szCs w:val="24"/>
        </w:rPr>
        <w:t>Miskawayh</w:t>
      </w:r>
      <w:proofErr w:type="spellEnd"/>
      <w:r w:rsidRPr="009C60A8">
        <w:rPr>
          <w:rFonts w:ascii="Garamond" w:hAnsi="Garamond"/>
          <w:sz w:val="24"/>
          <w:szCs w:val="24"/>
        </w:rPr>
        <w:t xml:space="preserve"> to contemporary education, but to examine how their ethical perspectives can be connected conceptually with contemporary discussions of curriculum, pedagogy, character development, and social responsibility. The contribution therefore lies in the synthesis of distinct intellectual perspectives into a broader analytical framework for IRE.</w:t>
      </w:r>
    </w:p>
    <w:p w14:paraId="580BD31A"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 xml:space="preserve">The findings also align with studies examining the practical implementation of Islamic values in educational settings. </w:t>
      </w:r>
      <w:proofErr w:type="spellStart"/>
      <w:r w:rsidRPr="009C60A8">
        <w:rPr>
          <w:rFonts w:ascii="Garamond" w:hAnsi="Garamond"/>
          <w:sz w:val="24"/>
          <w:szCs w:val="24"/>
        </w:rPr>
        <w:t>Mawardi</w:t>
      </w:r>
      <w:proofErr w:type="spellEnd"/>
      <w:r w:rsidRPr="009C60A8">
        <w:rPr>
          <w:rFonts w:ascii="Garamond" w:hAnsi="Garamond"/>
          <w:sz w:val="24"/>
          <w:szCs w:val="24"/>
        </w:rPr>
        <w:t xml:space="preserve"> et al. (2021) identified instructional innovation, role modeling, habituation, reinforcement, and assessment as strategies for strengthening Islamic-value-based character education in online learning. Similarly, </w:t>
      </w:r>
      <w:proofErr w:type="spellStart"/>
      <w:r w:rsidRPr="009C60A8">
        <w:rPr>
          <w:rFonts w:ascii="Garamond" w:hAnsi="Garamond"/>
          <w:sz w:val="24"/>
          <w:szCs w:val="24"/>
        </w:rPr>
        <w:t>Sudarmi</w:t>
      </w:r>
      <w:proofErr w:type="spellEnd"/>
      <w:r w:rsidRPr="009C60A8">
        <w:rPr>
          <w:rFonts w:ascii="Garamond" w:hAnsi="Garamond"/>
          <w:sz w:val="24"/>
          <w:szCs w:val="24"/>
        </w:rPr>
        <w:t xml:space="preserve"> and Yusuf (2022) examined an Islamic Religious Education learning model associated with emotional intelligence and students' morality. These studies support the importance of pedagogical approaches that connect religious instruction with students' behavioral and personal development.</w:t>
      </w:r>
    </w:p>
    <w:p w14:paraId="58AE76FE"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The present study extends this literature by explaining the conceptual relationship between these educational strategies and the ethical foundations from which they may derive their significance. Role modeling, for example, can be interpreted as a practical expression of exemplary conduct, while habituation provides a mechanism through which ethical principles may become part of everyday behavior. Reflection and constructive assessment can complement these processes by helping learners understand the moral reasons underlying their actions. This interpretation connects pedagogical strategies with broader questions about how moral understanding, internal motivation, and observable conduct interact in character formation.</w:t>
      </w:r>
    </w:p>
    <w:p w14:paraId="3817D35A"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 xml:space="preserve">A related point of convergence concerns the social dimensions of Islamic character education. </w:t>
      </w:r>
      <w:proofErr w:type="spellStart"/>
      <w:r w:rsidRPr="009C60A8">
        <w:rPr>
          <w:rFonts w:ascii="Garamond" w:hAnsi="Garamond"/>
          <w:sz w:val="24"/>
          <w:szCs w:val="24"/>
        </w:rPr>
        <w:t>Hilmi</w:t>
      </w:r>
      <w:proofErr w:type="spellEnd"/>
      <w:r w:rsidRPr="009C60A8">
        <w:rPr>
          <w:rFonts w:ascii="Garamond" w:hAnsi="Garamond"/>
          <w:sz w:val="24"/>
          <w:szCs w:val="24"/>
        </w:rPr>
        <w:t xml:space="preserve"> et al. (2023) examined Islamic character education in relation to religious moderation, while </w:t>
      </w:r>
      <w:proofErr w:type="spellStart"/>
      <w:r w:rsidRPr="009C60A8">
        <w:rPr>
          <w:rFonts w:ascii="Garamond" w:hAnsi="Garamond"/>
          <w:sz w:val="24"/>
          <w:szCs w:val="24"/>
        </w:rPr>
        <w:t>Sitompul</w:t>
      </w:r>
      <w:proofErr w:type="spellEnd"/>
      <w:r w:rsidRPr="009C60A8">
        <w:rPr>
          <w:rFonts w:ascii="Garamond" w:hAnsi="Garamond"/>
          <w:sz w:val="24"/>
          <w:szCs w:val="24"/>
        </w:rPr>
        <w:t xml:space="preserve"> et al. (2023) discussed the role of Islamic Religious Education teachers in shaping students' character and morals. These studies indicate that character education has implications beyond individual religious understanding, particularly for students' relationships with others and their participation in educational communities. The present study incorporates this concern into a broader conceptual interpretation in which ethical development includes personal discipline, interpersonal responsibility, and socially responsible conduct.</w:t>
      </w:r>
    </w:p>
    <w:p w14:paraId="0513FED0"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 xml:space="preserve">However, an important distinction concerns the level of analysis. Studies of particular teaching models, teachers' roles, or institutional practices provide context-specific insights into educational implementation. The present study, by contrast, offers a conceptual synthesis intended </w:t>
      </w:r>
      <w:r w:rsidRPr="009C60A8">
        <w:rPr>
          <w:rFonts w:ascii="Garamond" w:hAnsi="Garamond"/>
          <w:sz w:val="24"/>
          <w:szCs w:val="24"/>
        </w:rPr>
        <w:lastRenderedPageBreak/>
        <w:t>to explain the relationship between the intellectual foundations of Islamic ethics and the educational practices associated with character development. It therefore complements implementation-oriented research rather than replacing the need for empirical studies of instructional effectiveness.</w:t>
      </w:r>
    </w:p>
    <w:p w14:paraId="3D98CA95"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 xml:space="preserve">The present findings are also consistent with contemporary research examining Islamic ethical education in changing social and technological environments. </w:t>
      </w:r>
      <w:proofErr w:type="spellStart"/>
      <w:r w:rsidRPr="009C60A8">
        <w:rPr>
          <w:rFonts w:ascii="Garamond" w:hAnsi="Garamond"/>
          <w:sz w:val="24"/>
          <w:szCs w:val="24"/>
        </w:rPr>
        <w:t>Martasila</w:t>
      </w:r>
      <w:proofErr w:type="spellEnd"/>
      <w:r w:rsidRPr="009C60A8">
        <w:rPr>
          <w:rFonts w:ascii="Garamond" w:hAnsi="Garamond"/>
          <w:sz w:val="24"/>
          <w:szCs w:val="24"/>
        </w:rPr>
        <w:t xml:space="preserve"> and Abidin (2025) explored the relevance of Al-Ghazali's educational thought to Generation Z in the digital era, while Setiawan et al. (2025) addressed digital ethics from the perspective of Islamic Religious Education. These studies establish the relevance of interpreting Islamic ethical principles in relation to contemporary forms of communication and social interaction. The present study develops this discussion by distinguishing enduring ethical principles from the pedagogical applications required to address new circumstances.</w:t>
      </w:r>
    </w:p>
    <w:p w14:paraId="29A08AE0"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For example, self-discipline and responsibility can inform educational discussions of online communication, information sharing, and technology use. Nevertheless, these applications should not be understood as direct historical extensions of classical scholars' writings on contemporary digital platforms. Instead, they represent context-sensitive interpretations of broader ethical concerns. This distinction helps avoid anachronism while explaining how classical ethical thought can remain relevant to contemporary moral education.</w:t>
      </w:r>
    </w:p>
    <w:p w14:paraId="0EFC7790"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 xml:space="preserve">The findings further correspond with </w:t>
      </w:r>
      <w:proofErr w:type="spellStart"/>
      <w:r w:rsidRPr="009C60A8">
        <w:rPr>
          <w:rFonts w:ascii="Garamond" w:hAnsi="Garamond"/>
          <w:sz w:val="24"/>
          <w:szCs w:val="24"/>
        </w:rPr>
        <w:t>Fathoni</w:t>
      </w:r>
      <w:proofErr w:type="spellEnd"/>
      <w:r w:rsidRPr="009C60A8">
        <w:rPr>
          <w:rFonts w:ascii="Garamond" w:hAnsi="Garamond"/>
          <w:sz w:val="24"/>
          <w:szCs w:val="24"/>
        </w:rPr>
        <w:t xml:space="preserve"> et al. (2026), who reconstructed Al-Ghazali's character education through a framework involving family, school, and community. Their approach supports the understanding that moral development is influenced by multiple educational environments. The present study incorporates this insight into its conceptual framework by connecting the cultivation of individual character with the consistency of ethical guidance across institutional and social settings. It also extends the discussion by relating these environments to the curriculum, teaching practices, and intended outcomes of IRE.</w:t>
      </w:r>
    </w:p>
    <w:p w14:paraId="17110514" w14:textId="20B258F2" w:rsidR="009C60A8" w:rsidRPr="009C60A8" w:rsidRDefault="009C60A8" w:rsidP="004A2F7E">
      <w:pPr>
        <w:pStyle w:val="NoSpacing"/>
        <w:numPr>
          <w:ilvl w:val="0"/>
          <w:numId w:val="5"/>
        </w:numPr>
        <w:spacing w:line="276" w:lineRule="auto"/>
        <w:ind w:left="357" w:hanging="357"/>
        <w:jc w:val="both"/>
        <w:rPr>
          <w:rFonts w:ascii="Garamond" w:hAnsi="Garamond"/>
          <w:b/>
          <w:bCs/>
          <w:sz w:val="24"/>
          <w:szCs w:val="24"/>
        </w:rPr>
      </w:pPr>
      <w:r w:rsidRPr="009C60A8">
        <w:rPr>
          <w:rFonts w:ascii="Garamond" w:hAnsi="Garamond"/>
          <w:b/>
          <w:bCs/>
          <w:sz w:val="24"/>
          <w:szCs w:val="24"/>
        </w:rPr>
        <w:t>Implications of Findings</w:t>
      </w:r>
    </w:p>
    <w:p w14:paraId="02FC9833"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 xml:space="preserve">The findings contribute to Islamic educational scholarship by establishing a conceptual connection between classical Islamic ethical thought, contemporary interpretations of </w:t>
      </w:r>
      <w:proofErr w:type="spellStart"/>
      <w:r w:rsidRPr="009C60A8">
        <w:rPr>
          <w:rFonts w:ascii="Garamond" w:hAnsi="Garamond"/>
          <w:sz w:val="24"/>
          <w:szCs w:val="24"/>
        </w:rPr>
        <w:t>akhlāq</w:t>
      </w:r>
      <w:proofErr w:type="spellEnd"/>
      <w:r w:rsidRPr="009C60A8">
        <w:rPr>
          <w:rFonts w:ascii="Garamond" w:hAnsi="Garamond"/>
          <w:sz w:val="24"/>
          <w:szCs w:val="24"/>
        </w:rPr>
        <w:t>, and the pedagogical requirements of Islamic Religious Education (IRE). Theoretically, the study proposes an integrative framework comprising three interconnected dimensions: ethical foundations, educational enactment, and contextual adaptation. This framework clarifies how rational reflection, spiritual cultivation, and habituation can inform educational objectives and teaching practices while accommodating contemporary challenges, including digital ethics and social responsibility. Rather than treating classical and contemporary perspectives as separate traditions, the study demonstrates their potential to inform a coherent understanding of moral formation.</w:t>
      </w:r>
    </w:p>
    <w:p w14:paraId="2F679E64"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Practically, the findings suggest that IRE should integrate religious knowledge with reflective learning, exemplary conduct, moral habituation, and constructive assessment. Teachers can connect ethical principles with students' everyday experiences, while families and communities can reinforce these values through consistent guidance and opportunities for responsible participation. These implications should be understood as theoretically informed recommendations rather than empirically verified interventions. The proposed framework therefore provides a basis for curriculum development, teacher preparation, and future empirical research examining how Islamic ethical principles can support meaningful and sustained character development.</w:t>
      </w:r>
    </w:p>
    <w:p w14:paraId="35342F35" w14:textId="3A5DE2F5" w:rsidR="009C60A8" w:rsidRPr="009C60A8" w:rsidRDefault="009C60A8" w:rsidP="004A2F7E">
      <w:pPr>
        <w:pStyle w:val="NoSpacing"/>
        <w:numPr>
          <w:ilvl w:val="0"/>
          <w:numId w:val="5"/>
        </w:numPr>
        <w:spacing w:line="276" w:lineRule="auto"/>
        <w:ind w:left="357" w:hanging="357"/>
        <w:jc w:val="both"/>
        <w:rPr>
          <w:rFonts w:ascii="Garamond" w:hAnsi="Garamond"/>
          <w:b/>
          <w:bCs/>
          <w:sz w:val="24"/>
          <w:szCs w:val="24"/>
        </w:rPr>
      </w:pPr>
      <w:r w:rsidRPr="009C60A8">
        <w:rPr>
          <w:rFonts w:ascii="Garamond" w:hAnsi="Garamond"/>
          <w:b/>
          <w:bCs/>
          <w:sz w:val="24"/>
          <w:szCs w:val="24"/>
        </w:rPr>
        <w:lastRenderedPageBreak/>
        <w:t>Research Limitations</w:t>
      </w:r>
    </w:p>
    <w:p w14:paraId="2E03DCAC"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This study has several limitations. First, its library-based qualitative design means that the findings depend on the selection, accessibility, and interpretation of the literature rather than on direct empirical observation of educational practices. Second, the reviewed studies differ in their theoretical orientations, methodological approaches, and educational contexts, limiting the comparability and generalizability of their conclusions. Third, the proposed conceptual framework has not been empirically tested; consequently, the relationships among ethical foundations, pedagogical practices, and intended educational outcomes remain theoretically proposed rather than causally established.</w:t>
      </w:r>
    </w:p>
    <w:p w14:paraId="653572D9"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Future research should examine the framework through empirical studies involving classroom observations, interviews, curriculum analysis, and longitudinal assessments of character development across diverse educational settings. Such investigations could clarify the contextual applicability of the framework and assess how different combinations of rational reflection, spiritual cultivation, habituation, and educational collaboration contribute to students' ethical understanding and conduct.</w:t>
      </w:r>
    </w:p>
    <w:p w14:paraId="65B77F2D" w14:textId="77777777" w:rsidR="009C60A8" w:rsidRPr="009C60A8" w:rsidRDefault="009C60A8" w:rsidP="009C60A8">
      <w:pPr>
        <w:pStyle w:val="NoSpacing"/>
        <w:spacing w:line="276" w:lineRule="auto"/>
        <w:jc w:val="both"/>
        <w:rPr>
          <w:rFonts w:ascii="Garamond" w:hAnsi="Garamond"/>
          <w:b/>
          <w:bCs/>
          <w:sz w:val="24"/>
          <w:szCs w:val="24"/>
        </w:rPr>
      </w:pPr>
      <w:r w:rsidRPr="009C60A8">
        <w:rPr>
          <w:rFonts w:ascii="Garamond" w:hAnsi="Garamond"/>
          <w:b/>
          <w:bCs/>
          <w:sz w:val="24"/>
          <w:szCs w:val="24"/>
        </w:rPr>
        <w:t>CONCLUSION</w:t>
      </w:r>
    </w:p>
    <w:p w14:paraId="4B96E0A7" w14:textId="77777777" w:rsidR="009C60A8" w:rsidRPr="009C60A8"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 xml:space="preserve">This study examined the historical development of Islamic ethical thought from classical scholars to contemporary Muslim thinkers, the continuities and differences between their perspectives, and their implications for Islamic Religious Education (IRE). The findings indicate that classical ethical thought provides complementary foundations for moral formation through rational reflection, spiritual cultivation, and habituation. Although scholars such as Ibn </w:t>
      </w:r>
      <w:proofErr w:type="spellStart"/>
      <w:r w:rsidRPr="009C60A8">
        <w:rPr>
          <w:rFonts w:ascii="Garamond" w:hAnsi="Garamond"/>
          <w:sz w:val="24"/>
          <w:szCs w:val="24"/>
        </w:rPr>
        <w:t>Miskawayh</w:t>
      </w:r>
      <w:proofErr w:type="spellEnd"/>
      <w:r w:rsidRPr="009C60A8">
        <w:rPr>
          <w:rFonts w:ascii="Garamond" w:hAnsi="Garamond"/>
          <w:sz w:val="24"/>
          <w:szCs w:val="24"/>
        </w:rPr>
        <w:t xml:space="preserve"> and Al-Ghazali differ in their emphases, their perspectives collectively highlight the importance of developing virtue through the integration of ethical understanding and consistent practice. Contemporary interpretations extend these foundations to current educational concerns, including character development, family–school–community collaboration, religious moderation, and digital ethics. Thus, the development of Islamic ethical thought is better understood as an ongoing process of reinterpretation than as a linear transition from classical to contemporary approaches.</w:t>
      </w:r>
    </w:p>
    <w:p w14:paraId="63ECB8EF" w14:textId="04677D1F" w:rsidR="001C1B50" w:rsidRDefault="009C60A8" w:rsidP="009C60A8">
      <w:pPr>
        <w:pStyle w:val="NoSpacing"/>
        <w:spacing w:line="276" w:lineRule="auto"/>
        <w:ind w:firstLine="567"/>
        <w:jc w:val="both"/>
        <w:rPr>
          <w:rFonts w:ascii="Garamond" w:hAnsi="Garamond"/>
          <w:sz w:val="24"/>
          <w:szCs w:val="24"/>
        </w:rPr>
      </w:pPr>
      <w:r w:rsidRPr="009C60A8">
        <w:rPr>
          <w:rFonts w:ascii="Garamond" w:hAnsi="Garamond"/>
          <w:sz w:val="24"/>
          <w:szCs w:val="24"/>
        </w:rPr>
        <w:t>The study proposes an integrative conceptual framework connecting ethical foundations, educational objectives and curriculum, teaching and learning practices, collaborative educational environments, and intended moral outcomes. This framework suggests that effective IRE should move beyond the transmission of religious knowledge toward the integration of moral reasoning, exemplary conduct, habituation, reflection, and social responsibility. Its principal contribution lies in connecting classical ethical principles with contemporary pedagogical challenges while distinguishing enduring moral foundations from context-specific educational applications. Nevertheless, because this research employed a qualitative, library-based approach, the proposed framework remains conceptual and does not establish causal relationships or demonstrate educational effectiveness. Future research should empirically examine its applicability through classroom-based case studies, interviews with teachers and students, curriculum analysis, and longitudinal investigations across diverse educational contexts. Such studies would help determine how the integration of classical ethical thought and contemporary educational practices can contribute to sustained moral development in Islamic education.</w:t>
      </w:r>
    </w:p>
    <w:p w14:paraId="1137D00D" w14:textId="77777777" w:rsidR="00DA3E9D" w:rsidRPr="009C60A8" w:rsidRDefault="00DA3E9D" w:rsidP="009C60A8">
      <w:pPr>
        <w:pStyle w:val="NoSpacing"/>
        <w:spacing w:line="276" w:lineRule="auto"/>
        <w:ind w:firstLine="567"/>
        <w:jc w:val="both"/>
        <w:rPr>
          <w:rFonts w:ascii="Garamond" w:hAnsi="Garamond"/>
          <w:sz w:val="24"/>
          <w:szCs w:val="24"/>
        </w:rPr>
      </w:pPr>
    </w:p>
    <w:p w14:paraId="17B88107" w14:textId="4A2527D4" w:rsidR="00CE2E19" w:rsidRPr="009C60A8" w:rsidRDefault="00CE2E19" w:rsidP="00CE2E19">
      <w:pPr>
        <w:pStyle w:val="NoSpacing"/>
        <w:spacing w:line="276" w:lineRule="auto"/>
        <w:ind w:left="567" w:hanging="567"/>
        <w:jc w:val="both"/>
        <w:rPr>
          <w:rFonts w:ascii="Garamond" w:hAnsi="Garamond"/>
          <w:b/>
          <w:bCs/>
          <w:sz w:val="24"/>
          <w:szCs w:val="24"/>
        </w:rPr>
      </w:pPr>
      <w:r w:rsidRPr="009C60A8">
        <w:rPr>
          <w:rFonts w:ascii="Garamond" w:hAnsi="Garamond"/>
          <w:b/>
          <w:bCs/>
          <w:sz w:val="24"/>
          <w:szCs w:val="24"/>
        </w:rPr>
        <w:t>REFERENCES</w:t>
      </w:r>
    </w:p>
    <w:p w14:paraId="1C3A9F7E" w14:textId="77777777" w:rsidR="00CE2E19" w:rsidRPr="00CE2E19" w:rsidRDefault="00CE2E19" w:rsidP="00CE2E19">
      <w:pPr>
        <w:pStyle w:val="NoSpacing"/>
        <w:spacing w:line="276" w:lineRule="auto"/>
        <w:ind w:left="567" w:hanging="567"/>
        <w:jc w:val="both"/>
        <w:rPr>
          <w:rFonts w:ascii="Garamond" w:hAnsi="Garamond"/>
          <w:sz w:val="24"/>
          <w:szCs w:val="24"/>
        </w:rPr>
      </w:pPr>
      <w:r w:rsidRPr="00CE2E19">
        <w:rPr>
          <w:rFonts w:ascii="Garamond" w:hAnsi="Garamond"/>
          <w:sz w:val="24"/>
          <w:szCs w:val="24"/>
        </w:rPr>
        <w:lastRenderedPageBreak/>
        <w:t xml:space="preserve">Aditya Maulana, A., &amp; </w:t>
      </w:r>
      <w:proofErr w:type="spellStart"/>
      <w:r w:rsidRPr="00CE2E19">
        <w:rPr>
          <w:rFonts w:ascii="Garamond" w:hAnsi="Garamond"/>
          <w:sz w:val="24"/>
          <w:szCs w:val="24"/>
        </w:rPr>
        <w:t>Purba</w:t>
      </w:r>
      <w:proofErr w:type="spellEnd"/>
      <w:r w:rsidRPr="00CE2E19">
        <w:rPr>
          <w:rFonts w:ascii="Garamond" w:hAnsi="Garamond"/>
          <w:sz w:val="24"/>
          <w:szCs w:val="24"/>
        </w:rPr>
        <w:t xml:space="preserve">, H. (2024). </w:t>
      </w:r>
      <w:proofErr w:type="spellStart"/>
      <w:r w:rsidRPr="00CE2E19">
        <w:rPr>
          <w:rFonts w:ascii="Garamond" w:hAnsi="Garamond"/>
          <w:sz w:val="24"/>
          <w:szCs w:val="24"/>
        </w:rPr>
        <w:t>Pembentukan</w:t>
      </w:r>
      <w:proofErr w:type="spellEnd"/>
      <w:r w:rsidRPr="00CE2E19">
        <w:rPr>
          <w:rFonts w:ascii="Garamond" w:hAnsi="Garamond"/>
          <w:sz w:val="24"/>
          <w:szCs w:val="24"/>
        </w:rPr>
        <w:t xml:space="preserve"> </w:t>
      </w:r>
      <w:proofErr w:type="spellStart"/>
      <w:r w:rsidRPr="00CE2E19">
        <w:rPr>
          <w:rFonts w:ascii="Garamond" w:hAnsi="Garamond"/>
          <w:sz w:val="24"/>
          <w:szCs w:val="24"/>
        </w:rPr>
        <w:t>karakter</w:t>
      </w:r>
      <w:proofErr w:type="spellEnd"/>
      <w:r w:rsidRPr="00CE2E19">
        <w:rPr>
          <w:rFonts w:ascii="Garamond" w:hAnsi="Garamond"/>
          <w:sz w:val="24"/>
          <w:szCs w:val="24"/>
        </w:rPr>
        <w:t xml:space="preserve"> </w:t>
      </w:r>
      <w:proofErr w:type="spellStart"/>
      <w:r w:rsidRPr="00CE2E19">
        <w:rPr>
          <w:rFonts w:ascii="Garamond" w:hAnsi="Garamond"/>
          <w:sz w:val="24"/>
          <w:szCs w:val="24"/>
        </w:rPr>
        <w:t>siswa</w:t>
      </w:r>
      <w:proofErr w:type="spellEnd"/>
      <w:r w:rsidRPr="00CE2E19">
        <w:rPr>
          <w:rFonts w:ascii="Garamond" w:hAnsi="Garamond"/>
          <w:sz w:val="24"/>
          <w:szCs w:val="24"/>
        </w:rPr>
        <w:t xml:space="preserve"> </w:t>
      </w:r>
      <w:proofErr w:type="spellStart"/>
      <w:r w:rsidRPr="00CE2E19">
        <w:rPr>
          <w:rFonts w:ascii="Garamond" w:hAnsi="Garamond"/>
          <w:sz w:val="24"/>
          <w:szCs w:val="24"/>
        </w:rPr>
        <w:t>melalui</w:t>
      </w:r>
      <w:proofErr w:type="spellEnd"/>
      <w:r w:rsidRPr="00CE2E19">
        <w:rPr>
          <w:rFonts w:ascii="Garamond" w:hAnsi="Garamond"/>
          <w:sz w:val="24"/>
          <w:szCs w:val="24"/>
        </w:rPr>
        <w:t xml:space="preserve"> </w:t>
      </w:r>
      <w:proofErr w:type="spellStart"/>
      <w:r w:rsidRPr="00CE2E19">
        <w:rPr>
          <w:rFonts w:ascii="Garamond" w:hAnsi="Garamond"/>
          <w:sz w:val="24"/>
          <w:szCs w:val="24"/>
        </w:rPr>
        <w:t>pembelajaran</w:t>
      </w:r>
      <w:proofErr w:type="spellEnd"/>
      <w:r w:rsidRPr="00CE2E19">
        <w:rPr>
          <w:rFonts w:ascii="Garamond" w:hAnsi="Garamond"/>
          <w:sz w:val="24"/>
          <w:szCs w:val="24"/>
        </w:rPr>
        <w:t xml:space="preserve"> Pendidikan Agama Islam. </w:t>
      </w:r>
      <w:proofErr w:type="spellStart"/>
      <w:r w:rsidRPr="00CE2E19">
        <w:rPr>
          <w:rFonts w:ascii="Garamond" w:hAnsi="Garamond"/>
          <w:sz w:val="24"/>
          <w:szCs w:val="24"/>
        </w:rPr>
        <w:t>Thawalib</w:t>
      </w:r>
      <w:proofErr w:type="spellEnd"/>
      <w:r w:rsidRPr="00CE2E19">
        <w:rPr>
          <w:rFonts w:ascii="Garamond" w:hAnsi="Garamond"/>
          <w:sz w:val="24"/>
          <w:szCs w:val="24"/>
        </w:rPr>
        <w:t xml:space="preserve">: </w:t>
      </w:r>
      <w:proofErr w:type="spellStart"/>
      <w:r w:rsidRPr="00CE2E19">
        <w:rPr>
          <w:rFonts w:ascii="Garamond" w:hAnsi="Garamond"/>
          <w:sz w:val="24"/>
          <w:szCs w:val="24"/>
        </w:rPr>
        <w:t>Jurnal</w:t>
      </w:r>
      <w:proofErr w:type="spellEnd"/>
      <w:r w:rsidRPr="00CE2E19">
        <w:rPr>
          <w:rFonts w:ascii="Garamond" w:hAnsi="Garamond"/>
          <w:sz w:val="24"/>
          <w:szCs w:val="24"/>
        </w:rPr>
        <w:t xml:space="preserve"> </w:t>
      </w:r>
      <w:proofErr w:type="spellStart"/>
      <w:r w:rsidRPr="00CE2E19">
        <w:rPr>
          <w:rFonts w:ascii="Garamond" w:hAnsi="Garamond"/>
          <w:sz w:val="24"/>
          <w:szCs w:val="24"/>
        </w:rPr>
        <w:t>Kependidikan</w:t>
      </w:r>
      <w:proofErr w:type="spellEnd"/>
      <w:r w:rsidRPr="00CE2E19">
        <w:rPr>
          <w:rFonts w:ascii="Garamond" w:hAnsi="Garamond"/>
          <w:sz w:val="24"/>
          <w:szCs w:val="24"/>
        </w:rPr>
        <w:t xml:space="preserve"> Islam, 5(1), 227–240. </w:t>
      </w:r>
      <w:hyperlink r:id="rId13" w:history="1">
        <w:r w:rsidRPr="00CE2E19">
          <w:rPr>
            <w:rStyle w:val="Hyperlink"/>
            <w:rFonts w:ascii="Garamond" w:hAnsi="Garamond"/>
            <w:sz w:val="24"/>
            <w:szCs w:val="24"/>
          </w:rPr>
          <w:t>https://doi.org/10.54150/thawalib.v5i1.414</w:t>
        </w:r>
      </w:hyperlink>
    </w:p>
    <w:p w14:paraId="10057639" w14:textId="77777777" w:rsidR="00CE2E19" w:rsidRPr="00CE2E19" w:rsidRDefault="00CE2E19" w:rsidP="00CE2E19">
      <w:pPr>
        <w:pStyle w:val="NoSpacing"/>
        <w:spacing w:line="276" w:lineRule="auto"/>
        <w:ind w:left="567" w:hanging="567"/>
        <w:jc w:val="both"/>
        <w:rPr>
          <w:rFonts w:ascii="Garamond" w:hAnsi="Garamond"/>
          <w:sz w:val="24"/>
          <w:szCs w:val="24"/>
        </w:rPr>
      </w:pPr>
      <w:r w:rsidRPr="00CE2E19">
        <w:rPr>
          <w:rFonts w:ascii="Garamond" w:hAnsi="Garamond"/>
          <w:sz w:val="24"/>
          <w:szCs w:val="24"/>
        </w:rPr>
        <w:t>Anwar, [initials to be verified]. (2026). Moral realism and character formation: Abu Hamid Al-</w:t>
      </w:r>
      <w:proofErr w:type="spellStart"/>
      <w:r w:rsidRPr="00CE2E19">
        <w:rPr>
          <w:rFonts w:ascii="Garamond" w:hAnsi="Garamond"/>
          <w:sz w:val="24"/>
          <w:szCs w:val="24"/>
        </w:rPr>
        <w:t>Ghazālī</w:t>
      </w:r>
      <w:proofErr w:type="spellEnd"/>
      <w:r w:rsidRPr="00CE2E19">
        <w:rPr>
          <w:rFonts w:ascii="Garamond" w:hAnsi="Garamond"/>
          <w:sz w:val="24"/>
          <w:szCs w:val="24"/>
        </w:rPr>
        <w:t xml:space="preserve"> and </w:t>
      </w:r>
      <w:proofErr w:type="spellStart"/>
      <w:r w:rsidRPr="00CE2E19">
        <w:rPr>
          <w:rFonts w:ascii="Garamond" w:hAnsi="Garamond"/>
          <w:sz w:val="24"/>
          <w:szCs w:val="24"/>
        </w:rPr>
        <w:t>Mu</w:t>
      </w:r>
      <w:r w:rsidRPr="00CE2E19">
        <w:rPr>
          <w:rFonts w:ascii="Cambria" w:hAnsi="Cambria" w:cs="Cambria"/>
          <w:sz w:val="24"/>
          <w:szCs w:val="24"/>
        </w:rPr>
        <w:t>ḥ</w:t>
      </w:r>
      <w:r w:rsidRPr="00CE2E19">
        <w:rPr>
          <w:rFonts w:ascii="Garamond" w:hAnsi="Garamond"/>
          <w:sz w:val="24"/>
          <w:szCs w:val="24"/>
        </w:rPr>
        <w:t>ammad</w:t>
      </w:r>
      <w:proofErr w:type="spellEnd"/>
      <w:r w:rsidRPr="00CE2E19">
        <w:rPr>
          <w:rFonts w:ascii="Garamond" w:hAnsi="Garamond"/>
          <w:sz w:val="24"/>
          <w:szCs w:val="24"/>
        </w:rPr>
        <w:t xml:space="preserve"> </w:t>
      </w:r>
      <w:proofErr w:type="spellStart"/>
      <w:r w:rsidRPr="00CE2E19">
        <w:rPr>
          <w:rFonts w:ascii="Garamond" w:hAnsi="Garamond"/>
          <w:sz w:val="24"/>
          <w:szCs w:val="24"/>
        </w:rPr>
        <w:t>Taqī</w:t>
      </w:r>
      <w:proofErr w:type="spellEnd"/>
      <w:r w:rsidRPr="00CE2E19">
        <w:rPr>
          <w:rFonts w:ascii="Garamond" w:hAnsi="Garamond"/>
          <w:sz w:val="24"/>
          <w:szCs w:val="24"/>
        </w:rPr>
        <w:t xml:space="preserve"> </w:t>
      </w:r>
      <w:proofErr w:type="spellStart"/>
      <w:r w:rsidRPr="00CE2E19">
        <w:rPr>
          <w:rFonts w:ascii="Garamond" w:hAnsi="Garamond"/>
          <w:sz w:val="24"/>
          <w:szCs w:val="24"/>
        </w:rPr>
        <w:t>Mi</w:t>
      </w:r>
      <w:r w:rsidRPr="00CE2E19">
        <w:rPr>
          <w:rFonts w:ascii="Cambria" w:hAnsi="Cambria" w:cs="Cambria"/>
          <w:sz w:val="24"/>
          <w:szCs w:val="24"/>
        </w:rPr>
        <w:t>ṣ</w:t>
      </w:r>
      <w:r w:rsidRPr="00CE2E19">
        <w:rPr>
          <w:rFonts w:ascii="Garamond" w:hAnsi="Garamond"/>
          <w:sz w:val="24"/>
          <w:szCs w:val="24"/>
        </w:rPr>
        <w:t>bā</w:t>
      </w:r>
      <w:r w:rsidRPr="00CE2E19">
        <w:rPr>
          <w:rFonts w:ascii="Cambria" w:hAnsi="Cambria" w:cs="Cambria"/>
          <w:sz w:val="24"/>
          <w:szCs w:val="24"/>
        </w:rPr>
        <w:t>ḥ</w:t>
      </w:r>
      <w:proofErr w:type="spellEnd"/>
      <w:r w:rsidRPr="00CE2E19">
        <w:rPr>
          <w:rFonts w:ascii="Garamond" w:hAnsi="Garamond"/>
          <w:sz w:val="24"/>
          <w:szCs w:val="24"/>
        </w:rPr>
        <w:t xml:space="preserve"> </w:t>
      </w:r>
      <w:proofErr w:type="spellStart"/>
      <w:r w:rsidRPr="00CE2E19">
        <w:rPr>
          <w:rFonts w:ascii="Garamond" w:hAnsi="Garamond"/>
          <w:sz w:val="24"/>
          <w:szCs w:val="24"/>
        </w:rPr>
        <w:t>Yazdī</w:t>
      </w:r>
      <w:proofErr w:type="spellEnd"/>
      <w:r w:rsidRPr="00CE2E19">
        <w:rPr>
          <w:rFonts w:ascii="Garamond" w:hAnsi="Garamond"/>
          <w:sz w:val="24"/>
          <w:szCs w:val="24"/>
        </w:rPr>
        <w:t xml:space="preserve"> on the foundations of Qur'anic ethics. </w:t>
      </w:r>
      <w:proofErr w:type="spellStart"/>
      <w:r w:rsidRPr="00CE2E19">
        <w:rPr>
          <w:rFonts w:ascii="Garamond" w:hAnsi="Garamond"/>
          <w:sz w:val="24"/>
          <w:szCs w:val="24"/>
        </w:rPr>
        <w:t>Jaqfi</w:t>
      </w:r>
      <w:proofErr w:type="spellEnd"/>
      <w:r w:rsidRPr="00CE2E19">
        <w:rPr>
          <w:rFonts w:ascii="Garamond" w:hAnsi="Garamond"/>
          <w:sz w:val="24"/>
          <w:szCs w:val="24"/>
        </w:rPr>
        <w:t xml:space="preserve">: </w:t>
      </w:r>
      <w:proofErr w:type="spellStart"/>
      <w:r w:rsidRPr="00CE2E19">
        <w:rPr>
          <w:rFonts w:ascii="Garamond" w:hAnsi="Garamond"/>
          <w:sz w:val="24"/>
          <w:szCs w:val="24"/>
        </w:rPr>
        <w:t>Jurnal</w:t>
      </w:r>
      <w:proofErr w:type="spellEnd"/>
      <w:r w:rsidRPr="00CE2E19">
        <w:rPr>
          <w:rFonts w:ascii="Garamond" w:hAnsi="Garamond"/>
          <w:sz w:val="24"/>
          <w:szCs w:val="24"/>
        </w:rPr>
        <w:t xml:space="preserve"> </w:t>
      </w:r>
      <w:proofErr w:type="spellStart"/>
      <w:r w:rsidRPr="00CE2E19">
        <w:rPr>
          <w:rFonts w:ascii="Garamond" w:hAnsi="Garamond"/>
          <w:sz w:val="24"/>
          <w:szCs w:val="24"/>
        </w:rPr>
        <w:t>Aqidah</w:t>
      </w:r>
      <w:proofErr w:type="spellEnd"/>
      <w:r w:rsidRPr="00CE2E19">
        <w:rPr>
          <w:rFonts w:ascii="Garamond" w:hAnsi="Garamond"/>
          <w:sz w:val="24"/>
          <w:szCs w:val="24"/>
        </w:rPr>
        <w:t xml:space="preserve"> dan </w:t>
      </w:r>
      <w:proofErr w:type="spellStart"/>
      <w:r w:rsidRPr="00CE2E19">
        <w:rPr>
          <w:rFonts w:ascii="Garamond" w:hAnsi="Garamond"/>
          <w:sz w:val="24"/>
          <w:szCs w:val="24"/>
        </w:rPr>
        <w:t>Filsafat</w:t>
      </w:r>
      <w:proofErr w:type="spellEnd"/>
      <w:r w:rsidRPr="00CE2E19">
        <w:rPr>
          <w:rFonts w:ascii="Garamond" w:hAnsi="Garamond"/>
          <w:sz w:val="24"/>
          <w:szCs w:val="24"/>
        </w:rPr>
        <w:t xml:space="preserve"> Islam, 11(2), 346–361. </w:t>
      </w:r>
      <w:hyperlink r:id="rId14" w:history="1">
        <w:r w:rsidRPr="00CE2E19">
          <w:rPr>
            <w:rStyle w:val="Hyperlink"/>
            <w:rFonts w:ascii="Garamond" w:hAnsi="Garamond"/>
            <w:sz w:val="24"/>
            <w:szCs w:val="24"/>
          </w:rPr>
          <w:t>https://doi.org/10.15575/jaqfi.v11i2.52584</w:t>
        </w:r>
      </w:hyperlink>
    </w:p>
    <w:p w14:paraId="3C952D31" w14:textId="77777777" w:rsidR="00CE2E19" w:rsidRPr="00CE2E19" w:rsidRDefault="00CE2E19" w:rsidP="00CE2E19">
      <w:pPr>
        <w:pStyle w:val="NoSpacing"/>
        <w:spacing w:line="276" w:lineRule="auto"/>
        <w:ind w:left="567" w:hanging="567"/>
        <w:jc w:val="both"/>
        <w:rPr>
          <w:rFonts w:ascii="Garamond" w:hAnsi="Garamond"/>
          <w:sz w:val="24"/>
          <w:szCs w:val="24"/>
        </w:rPr>
      </w:pPr>
      <w:r w:rsidRPr="00CE2E19">
        <w:rPr>
          <w:rFonts w:ascii="Garamond" w:hAnsi="Garamond"/>
          <w:sz w:val="24"/>
          <w:szCs w:val="24"/>
        </w:rPr>
        <w:t>Braun, V., &amp; Clarke, V. (2022). Thematic analysis: A practical guide. SAGE Publications.</w:t>
      </w:r>
    </w:p>
    <w:p w14:paraId="41F38B64" w14:textId="77777777" w:rsidR="00CE2E19" w:rsidRPr="00CE2E19" w:rsidRDefault="00CE2E19" w:rsidP="00CE2E19">
      <w:pPr>
        <w:pStyle w:val="NoSpacing"/>
        <w:spacing w:line="276" w:lineRule="auto"/>
        <w:ind w:left="567" w:hanging="567"/>
        <w:jc w:val="both"/>
        <w:rPr>
          <w:rFonts w:ascii="Garamond" w:hAnsi="Garamond"/>
          <w:sz w:val="24"/>
          <w:szCs w:val="24"/>
        </w:rPr>
      </w:pPr>
      <w:r w:rsidRPr="00CE2E19">
        <w:rPr>
          <w:rFonts w:ascii="Garamond" w:hAnsi="Garamond"/>
          <w:sz w:val="24"/>
          <w:szCs w:val="24"/>
        </w:rPr>
        <w:t xml:space="preserve">Creswell, J. W., &amp; Creswell, J. D. (2023). Research design: Qualitative, quantitative, and mixed methods </w:t>
      </w:r>
      <w:proofErr w:type="gramStart"/>
      <w:r w:rsidRPr="00CE2E19">
        <w:rPr>
          <w:rFonts w:ascii="Garamond" w:hAnsi="Garamond"/>
          <w:sz w:val="24"/>
          <w:szCs w:val="24"/>
        </w:rPr>
        <w:t>approaches</w:t>
      </w:r>
      <w:proofErr w:type="gramEnd"/>
      <w:r w:rsidRPr="00CE2E19">
        <w:rPr>
          <w:rFonts w:ascii="Garamond" w:hAnsi="Garamond"/>
          <w:sz w:val="24"/>
          <w:szCs w:val="24"/>
        </w:rPr>
        <w:t xml:space="preserve"> (6th ed.). SAGE Publications.</w:t>
      </w:r>
    </w:p>
    <w:p w14:paraId="373745F5"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Dimyathi</w:t>
      </w:r>
      <w:proofErr w:type="spellEnd"/>
      <w:r w:rsidRPr="00CE2E19">
        <w:rPr>
          <w:rFonts w:ascii="Garamond" w:hAnsi="Garamond"/>
          <w:sz w:val="24"/>
          <w:szCs w:val="24"/>
        </w:rPr>
        <w:t xml:space="preserve">, M. S., </w:t>
      </w:r>
      <w:proofErr w:type="spellStart"/>
      <w:r w:rsidRPr="00CE2E19">
        <w:rPr>
          <w:rFonts w:ascii="Garamond" w:hAnsi="Garamond"/>
          <w:sz w:val="24"/>
          <w:szCs w:val="24"/>
        </w:rPr>
        <w:t>Fatihunnada</w:t>
      </w:r>
      <w:proofErr w:type="spellEnd"/>
      <w:r w:rsidRPr="00CE2E19">
        <w:rPr>
          <w:rFonts w:ascii="Garamond" w:hAnsi="Garamond"/>
          <w:sz w:val="24"/>
          <w:szCs w:val="24"/>
        </w:rPr>
        <w:t xml:space="preserve">, F., &amp; </w:t>
      </w:r>
      <w:proofErr w:type="spellStart"/>
      <w:r w:rsidRPr="00CE2E19">
        <w:rPr>
          <w:rFonts w:ascii="Garamond" w:hAnsi="Garamond"/>
          <w:sz w:val="24"/>
          <w:szCs w:val="24"/>
        </w:rPr>
        <w:t>Ruswandi</w:t>
      </w:r>
      <w:proofErr w:type="spellEnd"/>
      <w:r w:rsidRPr="00CE2E19">
        <w:rPr>
          <w:rFonts w:ascii="Garamond" w:hAnsi="Garamond"/>
          <w:sz w:val="24"/>
          <w:szCs w:val="24"/>
        </w:rPr>
        <w:t xml:space="preserve">, B. (2025). Islamic character education in the digital age: A study of Indonesian state Islamic universities. </w:t>
      </w:r>
      <w:proofErr w:type="spellStart"/>
      <w:r w:rsidRPr="00CE2E19">
        <w:rPr>
          <w:rFonts w:ascii="Garamond" w:hAnsi="Garamond"/>
          <w:sz w:val="24"/>
          <w:szCs w:val="24"/>
        </w:rPr>
        <w:t>Edureligia</w:t>
      </w:r>
      <w:proofErr w:type="spellEnd"/>
      <w:r w:rsidRPr="00CE2E19">
        <w:rPr>
          <w:rFonts w:ascii="Garamond" w:hAnsi="Garamond"/>
          <w:sz w:val="24"/>
          <w:szCs w:val="24"/>
        </w:rPr>
        <w:t xml:space="preserve">: </w:t>
      </w:r>
      <w:proofErr w:type="spellStart"/>
      <w:r w:rsidRPr="00CE2E19">
        <w:rPr>
          <w:rFonts w:ascii="Garamond" w:hAnsi="Garamond"/>
          <w:sz w:val="24"/>
          <w:szCs w:val="24"/>
        </w:rPr>
        <w:t>Jurnal</w:t>
      </w:r>
      <w:proofErr w:type="spellEnd"/>
      <w:r w:rsidRPr="00CE2E19">
        <w:rPr>
          <w:rFonts w:ascii="Garamond" w:hAnsi="Garamond"/>
          <w:sz w:val="24"/>
          <w:szCs w:val="24"/>
        </w:rPr>
        <w:t xml:space="preserve"> Pendidikan Agama Islam, 9(3). </w:t>
      </w:r>
      <w:hyperlink r:id="rId15" w:history="1">
        <w:r w:rsidRPr="00CE2E19">
          <w:rPr>
            <w:rStyle w:val="Hyperlink"/>
            <w:rFonts w:ascii="Garamond" w:hAnsi="Garamond"/>
            <w:sz w:val="24"/>
            <w:szCs w:val="24"/>
          </w:rPr>
          <w:t>https://doi.org/10.33650/edureligia.v9i3.11905</w:t>
        </w:r>
      </w:hyperlink>
    </w:p>
    <w:p w14:paraId="5E839E8B" w14:textId="77777777" w:rsidR="00CE2E19" w:rsidRPr="00CE2E19" w:rsidRDefault="00CE2E19" w:rsidP="00CE2E19">
      <w:pPr>
        <w:pStyle w:val="NoSpacing"/>
        <w:spacing w:line="276" w:lineRule="auto"/>
        <w:ind w:left="567" w:hanging="567"/>
        <w:jc w:val="both"/>
        <w:rPr>
          <w:rFonts w:ascii="Garamond" w:hAnsi="Garamond"/>
          <w:sz w:val="24"/>
          <w:szCs w:val="24"/>
        </w:rPr>
      </w:pPr>
      <w:r w:rsidRPr="00CE2E19">
        <w:rPr>
          <w:rFonts w:ascii="Garamond" w:hAnsi="Garamond"/>
          <w:sz w:val="24"/>
          <w:szCs w:val="24"/>
        </w:rPr>
        <w:t xml:space="preserve">Edy, E., </w:t>
      </w:r>
      <w:proofErr w:type="spellStart"/>
      <w:r w:rsidRPr="00CE2E19">
        <w:rPr>
          <w:rFonts w:ascii="Garamond" w:hAnsi="Garamond"/>
          <w:sz w:val="24"/>
          <w:szCs w:val="24"/>
        </w:rPr>
        <w:t>Hadawiyah</w:t>
      </w:r>
      <w:proofErr w:type="spellEnd"/>
      <w:r w:rsidRPr="00CE2E19">
        <w:rPr>
          <w:rFonts w:ascii="Garamond" w:hAnsi="Garamond"/>
          <w:sz w:val="24"/>
          <w:szCs w:val="24"/>
        </w:rPr>
        <w:t xml:space="preserve">, R., &amp; </w:t>
      </w:r>
      <w:proofErr w:type="spellStart"/>
      <w:r w:rsidRPr="00CE2E19">
        <w:rPr>
          <w:rFonts w:ascii="Garamond" w:hAnsi="Garamond"/>
          <w:sz w:val="24"/>
          <w:szCs w:val="24"/>
        </w:rPr>
        <w:t>Burhanudin</w:t>
      </w:r>
      <w:proofErr w:type="spellEnd"/>
      <w:r w:rsidRPr="00CE2E19">
        <w:rPr>
          <w:rFonts w:ascii="Garamond" w:hAnsi="Garamond"/>
          <w:sz w:val="24"/>
          <w:szCs w:val="24"/>
        </w:rPr>
        <w:t xml:space="preserve">, O. (2022). </w:t>
      </w:r>
      <w:proofErr w:type="spellStart"/>
      <w:r w:rsidRPr="00CE2E19">
        <w:rPr>
          <w:rFonts w:ascii="Garamond" w:hAnsi="Garamond"/>
          <w:sz w:val="24"/>
          <w:szCs w:val="24"/>
        </w:rPr>
        <w:t>Implementasi</w:t>
      </w:r>
      <w:proofErr w:type="spellEnd"/>
      <w:r w:rsidRPr="00CE2E19">
        <w:rPr>
          <w:rFonts w:ascii="Garamond" w:hAnsi="Garamond"/>
          <w:sz w:val="24"/>
          <w:szCs w:val="24"/>
        </w:rPr>
        <w:t xml:space="preserve"> </w:t>
      </w:r>
      <w:proofErr w:type="spellStart"/>
      <w:r w:rsidRPr="00CE2E19">
        <w:rPr>
          <w:rFonts w:ascii="Garamond" w:hAnsi="Garamond"/>
          <w:sz w:val="24"/>
          <w:szCs w:val="24"/>
        </w:rPr>
        <w:t>pendidikan</w:t>
      </w:r>
      <w:proofErr w:type="spellEnd"/>
      <w:r w:rsidRPr="00CE2E19">
        <w:rPr>
          <w:rFonts w:ascii="Garamond" w:hAnsi="Garamond"/>
          <w:sz w:val="24"/>
          <w:szCs w:val="24"/>
        </w:rPr>
        <w:t xml:space="preserve"> </w:t>
      </w:r>
      <w:proofErr w:type="spellStart"/>
      <w:r w:rsidRPr="00CE2E19">
        <w:rPr>
          <w:rFonts w:ascii="Garamond" w:hAnsi="Garamond"/>
          <w:sz w:val="24"/>
          <w:szCs w:val="24"/>
        </w:rPr>
        <w:t>akhlak</w:t>
      </w:r>
      <w:proofErr w:type="spellEnd"/>
      <w:r w:rsidRPr="00CE2E19">
        <w:rPr>
          <w:rFonts w:ascii="Garamond" w:hAnsi="Garamond"/>
          <w:sz w:val="24"/>
          <w:szCs w:val="24"/>
        </w:rPr>
        <w:t xml:space="preserve"> di </w:t>
      </w:r>
      <w:proofErr w:type="spellStart"/>
      <w:r w:rsidRPr="00CE2E19">
        <w:rPr>
          <w:rFonts w:ascii="Garamond" w:hAnsi="Garamond"/>
          <w:sz w:val="24"/>
          <w:szCs w:val="24"/>
        </w:rPr>
        <w:t>Pondok</w:t>
      </w:r>
      <w:proofErr w:type="spellEnd"/>
      <w:r w:rsidRPr="00CE2E19">
        <w:rPr>
          <w:rFonts w:ascii="Garamond" w:hAnsi="Garamond"/>
          <w:sz w:val="24"/>
          <w:szCs w:val="24"/>
        </w:rPr>
        <w:t xml:space="preserve"> </w:t>
      </w:r>
      <w:proofErr w:type="spellStart"/>
      <w:r w:rsidRPr="00CE2E19">
        <w:rPr>
          <w:rFonts w:ascii="Garamond" w:hAnsi="Garamond"/>
          <w:sz w:val="24"/>
          <w:szCs w:val="24"/>
        </w:rPr>
        <w:t>Pesantren</w:t>
      </w:r>
      <w:proofErr w:type="spellEnd"/>
      <w:r w:rsidRPr="00CE2E19">
        <w:rPr>
          <w:rFonts w:ascii="Garamond" w:hAnsi="Garamond"/>
          <w:sz w:val="24"/>
          <w:szCs w:val="24"/>
        </w:rPr>
        <w:t xml:space="preserve">: </w:t>
      </w:r>
      <w:proofErr w:type="spellStart"/>
      <w:r w:rsidRPr="00CE2E19">
        <w:rPr>
          <w:rFonts w:ascii="Garamond" w:hAnsi="Garamond"/>
          <w:sz w:val="24"/>
          <w:szCs w:val="24"/>
        </w:rPr>
        <w:t>Studi</w:t>
      </w:r>
      <w:proofErr w:type="spellEnd"/>
      <w:r w:rsidRPr="00CE2E19">
        <w:rPr>
          <w:rFonts w:ascii="Garamond" w:hAnsi="Garamond"/>
          <w:sz w:val="24"/>
          <w:szCs w:val="24"/>
        </w:rPr>
        <w:t xml:space="preserve"> pada Lembaga Pendidikan </w:t>
      </w:r>
      <w:proofErr w:type="spellStart"/>
      <w:r w:rsidRPr="00CE2E19">
        <w:rPr>
          <w:rFonts w:ascii="Garamond" w:hAnsi="Garamond"/>
          <w:sz w:val="24"/>
          <w:szCs w:val="24"/>
        </w:rPr>
        <w:t>Pondok</w:t>
      </w:r>
      <w:proofErr w:type="spellEnd"/>
      <w:r w:rsidRPr="00CE2E19">
        <w:rPr>
          <w:rFonts w:ascii="Garamond" w:hAnsi="Garamond"/>
          <w:sz w:val="24"/>
          <w:szCs w:val="24"/>
        </w:rPr>
        <w:t xml:space="preserve"> </w:t>
      </w:r>
      <w:proofErr w:type="spellStart"/>
      <w:r w:rsidRPr="00CE2E19">
        <w:rPr>
          <w:rFonts w:ascii="Garamond" w:hAnsi="Garamond"/>
          <w:sz w:val="24"/>
          <w:szCs w:val="24"/>
        </w:rPr>
        <w:t>Pesantren</w:t>
      </w:r>
      <w:proofErr w:type="spellEnd"/>
      <w:r w:rsidRPr="00CE2E19">
        <w:rPr>
          <w:rFonts w:ascii="Garamond" w:hAnsi="Garamond"/>
          <w:sz w:val="24"/>
          <w:szCs w:val="24"/>
        </w:rPr>
        <w:t xml:space="preserve"> </w:t>
      </w:r>
      <w:proofErr w:type="spellStart"/>
      <w:r w:rsidRPr="00CE2E19">
        <w:rPr>
          <w:rFonts w:ascii="Garamond" w:hAnsi="Garamond"/>
          <w:sz w:val="24"/>
          <w:szCs w:val="24"/>
        </w:rPr>
        <w:t>Tazkiyatunnufus</w:t>
      </w:r>
      <w:proofErr w:type="spellEnd"/>
      <w:r w:rsidRPr="00CE2E19">
        <w:rPr>
          <w:rFonts w:ascii="Garamond" w:hAnsi="Garamond"/>
          <w:sz w:val="24"/>
          <w:szCs w:val="24"/>
        </w:rPr>
        <w:t xml:space="preserve">. </w:t>
      </w:r>
      <w:proofErr w:type="spellStart"/>
      <w:r w:rsidRPr="00CE2E19">
        <w:rPr>
          <w:rFonts w:ascii="Garamond" w:hAnsi="Garamond"/>
          <w:sz w:val="24"/>
          <w:szCs w:val="24"/>
        </w:rPr>
        <w:t>Edusifa</w:t>
      </w:r>
      <w:proofErr w:type="spellEnd"/>
      <w:r w:rsidRPr="00CE2E19">
        <w:rPr>
          <w:rFonts w:ascii="Garamond" w:hAnsi="Garamond"/>
          <w:sz w:val="24"/>
          <w:szCs w:val="24"/>
        </w:rPr>
        <w:t xml:space="preserve">: </w:t>
      </w:r>
      <w:proofErr w:type="spellStart"/>
      <w:r w:rsidRPr="00CE2E19">
        <w:rPr>
          <w:rFonts w:ascii="Garamond" w:hAnsi="Garamond"/>
          <w:sz w:val="24"/>
          <w:szCs w:val="24"/>
        </w:rPr>
        <w:t>Jurnal</w:t>
      </w:r>
      <w:proofErr w:type="spellEnd"/>
      <w:r w:rsidRPr="00CE2E19">
        <w:rPr>
          <w:rFonts w:ascii="Garamond" w:hAnsi="Garamond"/>
          <w:sz w:val="24"/>
          <w:szCs w:val="24"/>
        </w:rPr>
        <w:t xml:space="preserve"> Pendidikan Islam, 6(1), 1–13. </w:t>
      </w:r>
      <w:hyperlink r:id="rId16" w:history="1">
        <w:r w:rsidRPr="00CE2E19">
          <w:rPr>
            <w:rStyle w:val="Hyperlink"/>
            <w:rFonts w:ascii="Garamond" w:hAnsi="Garamond"/>
            <w:sz w:val="24"/>
            <w:szCs w:val="24"/>
          </w:rPr>
          <w:t>https://doi.org/10.56146/edusifa.v6i1.1</w:t>
        </w:r>
      </w:hyperlink>
    </w:p>
    <w:p w14:paraId="7A6632D4"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Faizin</w:t>
      </w:r>
      <w:proofErr w:type="spellEnd"/>
      <w:r w:rsidRPr="00CE2E19">
        <w:rPr>
          <w:rFonts w:ascii="Garamond" w:hAnsi="Garamond"/>
          <w:sz w:val="24"/>
          <w:szCs w:val="24"/>
        </w:rPr>
        <w:t xml:space="preserve">, M. N. (2025). </w:t>
      </w:r>
      <w:proofErr w:type="spellStart"/>
      <w:r w:rsidRPr="00CE2E19">
        <w:rPr>
          <w:rFonts w:ascii="Garamond" w:hAnsi="Garamond"/>
          <w:sz w:val="24"/>
          <w:szCs w:val="24"/>
        </w:rPr>
        <w:t>Metode</w:t>
      </w:r>
      <w:proofErr w:type="spellEnd"/>
      <w:r w:rsidRPr="00CE2E19">
        <w:rPr>
          <w:rFonts w:ascii="Garamond" w:hAnsi="Garamond"/>
          <w:sz w:val="24"/>
          <w:szCs w:val="24"/>
        </w:rPr>
        <w:t xml:space="preserve"> </w:t>
      </w:r>
      <w:proofErr w:type="spellStart"/>
      <w:r w:rsidRPr="00CE2E19">
        <w:rPr>
          <w:rFonts w:ascii="Garamond" w:hAnsi="Garamond"/>
          <w:sz w:val="24"/>
          <w:szCs w:val="24"/>
        </w:rPr>
        <w:t>pendidikan</w:t>
      </w:r>
      <w:proofErr w:type="spellEnd"/>
      <w:r w:rsidRPr="00CE2E19">
        <w:rPr>
          <w:rFonts w:ascii="Garamond" w:hAnsi="Garamond"/>
          <w:sz w:val="24"/>
          <w:szCs w:val="24"/>
        </w:rPr>
        <w:t xml:space="preserve"> </w:t>
      </w:r>
      <w:proofErr w:type="spellStart"/>
      <w:r w:rsidRPr="00CE2E19">
        <w:rPr>
          <w:rFonts w:ascii="Garamond" w:hAnsi="Garamond"/>
          <w:sz w:val="24"/>
          <w:szCs w:val="24"/>
        </w:rPr>
        <w:t>akhlak</w:t>
      </w:r>
      <w:proofErr w:type="spellEnd"/>
      <w:r w:rsidRPr="00CE2E19">
        <w:rPr>
          <w:rFonts w:ascii="Garamond" w:hAnsi="Garamond"/>
          <w:sz w:val="24"/>
          <w:szCs w:val="24"/>
        </w:rPr>
        <w:t xml:space="preserve"> </w:t>
      </w:r>
      <w:proofErr w:type="spellStart"/>
      <w:r w:rsidRPr="00CE2E19">
        <w:rPr>
          <w:rFonts w:ascii="Garamond" w:hAnsi="Garamond"/>
          <w:sz w:val="24"/>
          <w:szCs w:val="24"/>
        </w:rPr>
        <w:t>anak</w:t>
      </w:r>
      <w:proofErr w:type="spellEnd"/>
      <w:r w:rsidRPr="00CE2E19">
        <w:rPr>
          <w:rFonts w:ascii="Garamond" w:hAnsi="Garamond"/>
          <w:sz w:val="24"/>
          <w:szCs w:val="24"/>
        </w:rPr>
        <w:t xml:space="preserve"> </w:t>
      </w:r>
      <w:proofErr w:type="spellStart"/>
      <w:r w:rsidRPr="00CE2E19">
        <w:rPr>
          <w:rFonts w:ascii="Garamond" w:hAnsi="Garamond"/>
          <w:sz w:val="24"/>
          <w:szCs w:val="24"/>
        </w:rPr>
        <w:t>menurut</w:t>
      </w:r>
      <w:proofErr w:type="spellEnd"/>
      <w:r w:rsidRPr="00CE2E19">
        <w:rPr>
          <w:rFonts w:ascii="Garamond" w:hAnsi="Garamond"/>
          <w:sz w:val="24"/>
          <w:szCs w:val="24"/>
        </w:rPr>
        <w:t xml:space="preserve"> Al-Ghazali dan </w:t>
      </w:r>
      <w:proofErr w:type="spellStart"/>
      <w:r w:rsidRPr="00CE2E19">
        <w:rPr>
          <w:rFonts w:ascii="Garamond" w:hAnsi="Garamond"/>
          <w:sz w:val="24"/>
          <w:szCs w:val="24"/>
        </w:rPr>
        <w:t>Ibnu</w:t>
      </w:r>
      <w:proofErr w:type="spellEnd"/>
      <w:r w:rsidRPr="00CE2E19">
        <w:rPr>
          <w:rFonts w:ascii="Garamond" w:hAnsi="Garamond"/>
          <w:sz w:val="24"/>
          <w:szCs w:val="24"/>
        </w:rPr>
        <w:t xml:space="preserve"> </w:t>
      </w:r>
      <w:proofErr w:type="spellStart"/>
      <w:r w:rsidRPr="00CE2E19">
        <w:rPr>
          <w:rFonts w:ascii="Garamond" w:hAnsi="Garamond"/>
          <w:sz w:val="24"/>
          <w:szCs w:val="24"/>
        </w:rPr>
        <w:t>Maskawaih</w:t>
      </w:r>
      <w:proofErr w:type="spellEnd"/>
      <w:r w:rsidRPr="00CE2E19">
        <w:rPr>
          <w:rFonts w:ascii="Garamond" w:hAnsi="Garamond"/>
          <w:sz w:val="24"/>
          <w:szCs w:val="24"/>
        </w:rPr>
        <w:t xml:space="preserve">: Kajian kitab </w:t>
      </w:r>
      <w:proofErr w:type="spellStart"/>
      <w:r w:rsidRPr="00CE2E19">
        <w:rPr>
          <w:rFonts w:ascii="Garamond" w:hAnsi="Garamond"/>
          <w:sz w:val="24"/>
          <w:szCs w:val="24"/>
        </w:rPr>
        <w:t>Ayyuhal</w:t>
      </w:r>
      <w:proofErr w:type="spellEnd"/>
      <w:r w:rsidRPr="00CE2E19">
        <w:rPr>
          <w:rFonts w:ascii="Garamond" w:hAnsi="Garamond"/>
          <w:sz w:val="24"/>
          <w:szCs w:val="24"/>
        </w:rPr>
        <w:t xml:space="preserve"> </w:t>
      </w:r>
      <w:proofErr w:type="spellStart"/>
      <w:r w:rsidRPr="00CE2E19">
        <w:rPr>
          <w:rFonts w:ascii="Garamond" w:hAnsi="Garamond"/>
          <w:sz w:val="24"/>
          <w:szCs w:val="24"/>
        </w:rPr>
        <w:t>Walad</w:t>
      </w:r>
      <w:proofErr w:type="spellEnd"/>
      <w:r w:rsidRPr="00CE2E19">
        <w:rPr>
          <w:rFonts w:ascii="Garamond" w:hAnsi="Garamond"/>
          <w:sz w:val="24"/>
          <w:szCs w:val="24"/>
        </w:rPr>
        <w:t xml:space="preserve"> dan </w:t>
      </w:r>
      <w:proofErr w:type="spellStart"/>
      <w:r w:rsidRPr="00CE2E19">
        <w:rPr>
          <w:rFonts w:ascii="Garamond" w:hAnsi="Garamond"/>
          <w:sz w:val="24"/>
          <w:szCs w:val="24"/>
        </w:rPr>
        <w:t>Tadzhib</w:t>
      </w:r>
      <w:proofErr w:type="spellEnd"/>
      <w:r w:rsidRPr="00CE2E19">
        <w:rPr>
          <w:rFonts w:ascii="Garamond" w:hAnsi="Garamond"/>
          <w:sz w:val="24"/>
          <w:szCs w:val="24"/>
        </w:rPr>
        <w:t xml:space="preserve"> Al-</w:t>
      </w:r>
      <w:proofErr w:type="spellStart"/>
      <w:r w:rsidRPr="00CE2E19">
        <w:rPr>
          <w:rFonts w:ascii="Garamond" w:hAnsi="Garamond"/>
          <w:sz w:val="24"/>
          <w:szCs w:val="24"/>
        </w:rPr>
        <w:t>Akhlak</w:t>
      </w:r>
      <w:proofErr w:type="spellEnd"/>
      <w:r w:rsidRPr="00CE2E19">
        <w:rPr>
          <w:rFonts w:ascii="Garamond" w:hAnsi="Garamond"/>
          <w:sz w:val="24"/>
          <w:szCs w:val="24"/>
        </w:rPr>
        <w:t xml:space="preserve">. </w:t>
      </w:r>
      <w:proofErr w:type="spellStart"/>
      <w:r w:rsidRPr="00CE2E19">
        <w:rPr>
          <w:rFonts w:ascii="Garamond" w:hAnsi="Garamond"/>
          <w:sz w:val="24"/>
          <w:szCs w:val="24"/>
        </w:rPr>
        <w:t>Jurnal</w:t>
      </w:r>
      <w:proofErr w:type="spellEnd"/>
      <w:r w:rsidRPr="00CE2E19">
        <w:rPr>
          <w:rFonts w:ascii="Garamond" w:hAnsi="Garamond"/>
          <w:sz w:val="24"/>
          <w:szCs w:val="24"/>
        </w:rPr>
        <w:t xml:space="preserve"> SAMBAS, 7(2), 106–117. </w:t>
      </w:r>
      <w:hyperlink r:id="rId17" w:history="1">
        <w:r w:rsidRPr="00CE2E19">
          <w:rPr>
            <w:rStyle w:val="Hyperlink"/>
            <w:rFonts w:ascii="Garamond" w:hAnsi="Garamond"/>
            <w:sz w:val="24"/>
            <w:szCs w:val="24"/>
          </w:rPr>
          <w:t>https://doi.org/10.37567/sambas.v7i2.3642</w:t>
        </w:r>
      </w:hyperlink>
    </w:p>
    <w:p w14:paraId="3DB8E447" w14:textId="77777777" w:rsidR="00CE2E19" w:rsidRPr="00CE2E19" w:rsidRDefault="00CE2E19" w:rsidP="00CE2E19">
      <w:pPr>
        <w:pStyle w:val="NoSpacing"/>
        <w:spacing w:line="276" w:lineRule="auto"/>
        <w:ind w:left="567" w:hanging="567"/>
        <w:jc w:val="both"/>
        <w:rPr>
          <w:rFonts w:ascii="Garamond" w:hAnsi="Garamond"/>
          <w:sz w:val="24"/>
          <w:szCs w:val="24"/>
        </w:rPr>
      </w:pPr>
      <w:r w:rsidRPr="00CE2E19">
        <w:rPr>
          <w:rFonts w:ascii="Garamond" w:hAnsi="Garamond"/>
          <w:sz w:val="24"/>
          <w:szCs w:val="24"/>
        </w:rPr>
        <w:t xml:space="preserve">Faqih, G., &amp; </w:t>
      </w:r>
      <w:proofErr w:type="spellStart"/>
      <w:r w:rsidRPr="00CE2E19">
        <w:rPr>
          <w:rFonts w:ascii="Garamond" w:hAnsi="Garamond"/>
          <w:sz w:val="24"/>
          <w:szCs w:val="24"/>
        </w:rPr>
        <w:t>Widiyastuti</w:t>
      </w:r>
      <w:proofErr w:type="spellEnd"/>
      <w:r w:rsidRPr="00CE2E19">
        <w:rPr>
          <w:rFonts w:ascii="Garamond" w:hAnsi="Garamond"/>
          <w:sz w:val="24"/>
          <w:szCs w:val="24"/>
        </w:rPr>
        <w:t xml:space="preserve">, H. (2021). </w:t>
      </w:r>
      <w:proofErr w:type="spellStart"/>
      <w:r w:rsidRPr="00CE2E19">
        <w:rPr>
          <w:rFonts w:ascii="Garamond" w:hAnsi="Garamond"/>
          <w:sz w:val="24"/>
          <w:szCs w:val="24"/>
        </w:rPr>
        <w:t>Pemikiran</w:t>
      </w:r>
      <w:proofErr w:type="spellEnd"/>
      <w:r w:rsidRPr="00CE2E19">
        <w:rPr>
          <w:rFonts w:ascii="Garamond" w:hAnsi="Garamond"/>
          <w:sz w:val="24"/>
          <w:szCs w:val="24"/>
        </w:rPr>
        <w:t xml:space="preserve"> Imam Al-Ghazali </w:t>
      </w:r>
      <w:proofErr w:type="spellStart"/>
      <w:r w:rsidRPr="00CE2E19">
        <w:rPr>
          <w:rFonts w:ascii="Garamond" w:hAnsi="Garamond"/>
          <w:sz w:val="24"/>
          <w:szCs w:val="24"/>
        </w:rPr>
        <w:t>tentang</w:t>
      </w:r>
      <w:proofErr w:type="spellEnd"/>
      <w:r w:rsidRPr="00CE2E19">
        <w:rPr>
          <w:rFonts w:ascii="Garamond" w:hAnsi="Garamond"/>
          <w:sz w:val="24"/>
          <w:szCs w:val="24"/>
        </w:rPr>
        <w:t xml:space="preserve"> </w:t>
      </w:r>
      <w:proofErr w:type="spellStart"/>
      <w:r w:rsidRPr="00CE2E19">
        <w:rPr>
          <w:rFonts w:ascii="Garamond" w:hAnsi="Garamond"/>
          <w:sz w:val="24"/>
          <w:szCs w:val="24"/>
        </w:rPr>
        <w:t>filsafat</w:t>
      </w:r>
      <w:proofErr w:type="spellEnd"/>
      <w:r w:rsidRPr="00CE2E19">
        <w:rPr>
          <w:rFonts w:ascii="Garamond" w:hAnsi="Garamond"/>
          <w:sz w:val="24"/>
          <w:szCs w:val="24"/>
        </w:rPr>
        <w:t xml:space="preserve"> </w:t>
      </w:r>
      <w:proofErr w:type="spellStart"/>
      <w:r w:rsidRPr="00CE2E19">
        <w:rPr>
          <w:rFonts w:ascii="Garamond" w:hAnsi="Garamond"/>
          <w:sz w:val="24"/>
          <w:szCs w:val="24"/>
        </w:rPr>
        <w:t>pendidikan</w:t>
      </w:r>
      <w:proofErr w:type="spellEnd"/>
      <w:r w:rsidRPr="00CE2E19">
        <w:rPr>
          <w:rFonts w:ascii="Garamond" w:hAnsi="Garamond"/>
          <w:sz w:val="24"/>
          <w:szCs w:val="24"/>
        </w:rPr>
        <w:t xml:space="preserve"> Islam </w:t>
      </w:r>
      <w:proofErr w:type="spellStart"/>
      <w:r w:rsidRPr="00CE2E19">
        <w:rPr>
          <w:rFonts w:ascii="Garamond" w:hAnsi="Garamond"/>
          <w:sz w:val="24"/>
          <w:szCs w:val="24"/>
        </w:rPr>
        <w:t>dalam</w:t>
      </w:r>
      <w:proofErr w:type="spellEnd"/>
      <w:r w:rsidRPr="00CE2E19">
        <w:rPr>
          <w:rFonts w:ascii="Garamond" w:hAnsi="Garamond"/>
          <w:sz w:val="24"/>
          <w:szCs w:val="24"/>
        </w:rPr>
        <w:t xml:space="preserve"> </w:t>
      </w:r>
      <w:proofErr w:type="spellStart"/>
      <w:r w:rsidRPr="00CE2E19">
        <w:rPr>
          <w:rFonts w:ascii="Garamond" w:hAnsi="Garamond"/>
          <w:sz w:val="24"/>
          <w:szCs w:val="24"/>
        </w:rPr>
        <w:t>pembentukan</w:t>
      </w:r>
      <w:proofErr w:type="spellEnd"/>
      <w:r w:rsidRPr="00CE2E19">
        <w:rPr>
          <w:rFonts w:ascii="Garamond" w:hAnsi="Garamond"/>
          <w:sz w:val="24"/>
          <w:szCs w:val="24"/>
        </w:rPr>
        <w:t xml:space="preserve"> </w:t>
      </w:r>
      <w:proofErr w:type="spellStart"/>
      <w:r w:rsidRPr="00CE2E19">
        <w:rPr>
          <w:rFonts w:ascii="Garamond" w:hAnsi="Garamond"/>
          <w:sz w:val="24"/>
          <w:szCs w:val="24"/>
        </w:rPr>
        <w:t>kepribadian</w:t>
      </w:r>
      <w:proofErr w:type="spellEnd"/>
      <w:r w:rsidRPr="00CE2E19">
        <w:rPr>
          <w:rFonts w:ascii="Garamond" w:hAnsi="Garamond"/>
          <w:sz w:val="24"/>
          <w:szCs w:val="24"/>
        </w:rPr>
        <w:t xml:space="preserve"> </w:t>
      </w:r>
      <w:proofErr w:type="spellStart"/>
      <w:r w:rsidRPr="00CE2E19">
        <w:rPr>
          <w:rFonts w:ascii="Garamond" w:hAnsi="Garamond"/>
          <w:sz w:val="24"/>
          <w:szCs w:val="24"/>
        </w:rPr>
        <w:t>manusia</w:t>
      </w:r>
      <w:proofErr w:type="spellEnd"/>
      <w:r w:rsidRPr="00CE2E19">
        <w:rPr>
          <w:rFonts w:ascii="Garamond" w:hAnsi="Garamond"/>
          <w:sz w:val="24"/>
          <w:szCs w:val="24"/>
        </w:rPr>
        <w:t xml:space="preserve"> </w:t>
      </w:r>
      <w:proofErr w:type="spellStart"/>
      <w:r w:rsidRPr="00CE2E19">
        <w:rPr>
          <w:rFonts w:ascii="Garamond" w:hAnsi="Garamond"/>
          <w:sz w:val="24"/>
          <w:szCs w:val="24"/>
        </w:rPr>
        <w:t>berkarakter</w:t>
      </w:r>
      <w:proofErr w:type="spellEnd"/>
      <w:r w:rsidRPr="00CE2E19">
        <w:rPr>
          <w:rFonts w:ascii="Garamond" w:hAnsi="Garamond"/>
          <w:sz w:val="24"/>
          <w:szCs w:val="24"/>
        </w:rPr>
        <w:t xml:space="preserve"> </w:t>
      </w:r>
      <w:proofErr w:type="spellStart"/>
      <w:r w:rsidRPr="00CE2E19">
        <w:rPr>
          <w:rFonts w:ascii="Garamond" w:hAnsi="Garamond"/>
          <w:sz w:val="24"/>
          <w:szCs w:val="24"/>
        </w:rPr>
        <w:t>Islami</w:t>
      </w:r>
      <w:proofErr w:type="spellEnd"/>
      <w:r w:rsidRPr="00CE2E19">
        <w:rPr>
          <w:rFonts w:ascii="Garamond" w:hAnsi="Garamond"/>
          <w:sz w:val="24"/>
          <w:szCs w:val="24"/>
        </w:rPr>
        <w:t xml:space="preserve">. </w:t>
      </w:r>
      <w:proofErr w:type="spellStart"/>
      <w:r w:rsidRPr="00CE2E19">
        <w:rPr>
          <w:rFonts w:ascii="Garamond" w:hAnsi="Garamond"/>
          <w:sz w:val="24"/>
          <w:szCs w:val="24"/>
        </w:rPr>
        <w:t>Ghaidan</w:t>
      </w:r>
      <w:proofErr w:type="spellEnd"/>
      <w:r w:rsidRPr="00CE2E19">
        <w:rPr>
          <w:rFonts w:ascii="Garamond" w:hAnsi="Garamond"/>
          <w:sz w:val="24"/>
          <w:szCs w:val="24"/>
        </w:rPr>
        <w:t xml:space="preserve">: </w:t>
      </w:r>
      <w:proofErr w:type="spellStart"/>
      <w:r w:rsidRPr="00CE2E19">
        <w:rPr>
          <w:rFonts w:ascii="Garamond" w:hAnsi="Garamond"/>
          <w:sz w:val="24"/>
          <w:szCs w:val="24"/>
        </w:rPr>
        <w:t>Jurnal</w:t>
      </w:r>
      <w:proofErr w:type="spellEnd"/>
      <w:r w:rsidRPr="00CE2E19">
        <w:rPr>
          <w:rFonts w:ascii="Garamond" w:hAnsi="Garamond"/>
          <w:sz w:val="24"/>
          <w:szCs w:val="24"/>
        </w:rPr>
        <w:t xml:space="preserve"> </w:t>
      </w:r>
      <w:proofErr w:type="spellStart"/>
      <w:r w:rsidRPr="00CE2E19">
        <w:rPr>
          <w:rFonts w:ascii="Garamond" w:hAnsi="Garamond"/>
          <w:sz w:val="24"/>
          <w:szCs w:val="24"/>
        </w:rPr>
        <w:t>Bimbingan</w:t>
      </w:r>
      <w:proofErr w:type="spellEnd"/>
      <w:r w:rsidRPr="00CE2E19">
        <w:rPr>
          <w:rFonts w:ascii="Garamond" w:hAnsi="Garamond"/>
          <w:sz w:val="24"/>
          <w:szCs w:val="24"/>
        </w:rPr>
        <w:t xml:space="preserve"> </w:t>
      </w:r>
      <w:proofErr w:type="spellStart"/>
      <w:r w:rsidRPr="00CE2E19">
        <w:rPr>
          <w:rFonts w:ascii="Garamond" w:hAnsi="Garamond"/>
          <w:sz w:val="24"/>
          <w:szCs w:val="24"/>
        </w:rPr>
        <w:t>Konseling</w:t>
      </w:r>
      <w:proofErr w:type="spellEnd"/>
      <w:r w:rsidRPr="00CE2E19">
        <w:rPr>
          <w:rFonts w:ascii="Garamond" w:hAnsi="Garamond"/>
          <w:sz w:val="24"/>
          <w:szCs w:val="24"/>
        </w:rPr>
        <w:t xml:space="preserve"> Islam dan </w:t>
      </w:r>
      <w:proofErr w:type="spellStart"/>
      <w:r w:rsidRPr="00CE2E19">
        <w:rPr>
          <w:rFonts w:ascii="Garamond" w:hAnsi="Garamond"/>
          <w:sz w:val="24"/>
          <w:szCs w:val="24"/>
        </w:rPr>
        <w:t>Kemasyarakatan</w:t>
      </w:r>
      <w:proofErr w:type="spellEnd"/>
      <w:r w:rsidRPr="00CE2E19">
        <w:rPr>
          <w:rFonts w:ascii="Garamond" w:hAnsi="Garamond"/>
          <w:sz w:val="24"/>
          <w:szCs w:val="24"/>
        </w:rPr>
        <w:t xml:space="preserve">, 5(2), 105–109. </w:t>
      </w:r>
      <w:hyperlink r:id="rId18" w:history="1">
        <w:r w:rsidRPr="00CE2E19">
          <w:rPr>
            <w:rStyle w:val="Hyperlink"/>
            <w:rFonts w:ascii="Garamond" w:hAnsi="Garamond"/>
            <w:sz w:val="24"/>
            <w:szCs w:val="24"/>
          </w:rPr>
          <w:t>https://doi.org/10.19109/r28v8346</w:t>
        </w:r>
      </w:hyperlink>
    </w:p>
    <w:p w14:paraId="791A5BF8"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Fathoni</w:t>
      </w:r>
      <w:proofErr w:type="spellEnd"/>
      <w:r w:rsidRPr="00CE2E19">
        <w:rPr>
          <w:rFonts w:ascii="Garamond" w:hAnsi="Garamond"/>
          <w:sz w:val="24"/>
          <w:szCs w:val="24"/>
        </w:rPr>
        <w:t xml:space="preserve">, A. I., </w:t>
      </w:r>
      <w:proofErr w:type="spellStart"/>
      <w:r w:rsidRPr="00CE2E19">
        <w:rPr>
          <w:rFonts w:ascii="Garamond" w:hAnsi="Garamond"/>
          <w:sz w:val="24"/>
          <w:szCs w:val="24"/>
        </w:rPr>
        <w:t>Barizi</w:t>
      </w:r>
      <w:proofErr w:type="spellEnd"/>
      <w:r w:rsidRPr="00CE2E19">
        <w:rPr>
          <w:rFonts w:ascii="Garamond" w:hAnsi="Garamond"/>
          <w:sz w:val="24"/>
          <w:szCs w:val="24"/>
        </w:rPr>
        <w:t xml:space="preserve">, A., </w:t>
      </w:r>
      <w:proofErr w:type="spellStart"/>
      <w:r w:rsidRPr="00CE2E19">
        <w:rPr>
          <w:rFonts w:ascii="Garamond" w:hAnsi="Garamond"/>
          <w:sz w:val="24"/>
          <w:szCs w:val="24"/>
        </w:rPr>
        <w:t>Syam</w:t>
      </w:r>
      <w:proofErr w:type="spellEnd"/>
      <w:r w:rsidRPr="00CE2E19">
        <w:rPr>
          <w:rFonts w:ascii="Garamond" w:hAnsi="Garamond"/>
          <w:sz w:val="24"/>
          <w:szCs w:val="24"/>
        </w:rPr>
        <w:t xml:space="preserve">, N., </w:t>
      </w:r>
      <w:proofErr w:type="spellStart"/>
      <w:r w:rsidRPr="00CE2E19">
        <w:rPr>
          <w:rFonts w:ascii="Garamond" w:hAnsi="Garamond"/>
          <w:sz w:val="24"/>
          <w:szCs w:val="24"/>
        </w:rPr>
        <w:t>Alhazami</w:t>
      </w:r>
      <w:proofErr w:type="spellEnd"/>
      <w:r w:rsidRPr="00CE2E19">
        <w:rPr>
          <w:rFonts w:ascii="Garamond" w:hAnsi="Garamond"/>
          <w:sz w:val="24"/>
          <w:szCs w:val="24"/>
        </w:rPr>
        <w:t xml:space="preserve">, M. G. A. R., &amp; </w:t>
      </w:r>
      <w:proofErr w:type="spellStart"/>
      <w:r w:rsidRPr="00CE2E19">
        <w:rPr>
          <w:rFonts w:ascii="Garamond" w:hAnsi="Garamond"/>
          <w:sz w:val="24"/>
          <w:szCs w:val="24"/>
        </w:rPr>
        <w:t>Musthofa</w:t>
      </w:r>
      <w:proofErr w:type="spellEnd"/>
      <w:r w:rsidRPr="00CE2E19">
        <w:rPr>
          <w:rFonts w:ascii="Garamond" w:hAnsi="Garamond"/>
          <w:sz w:val="24"/>
          <w:szCs w:val="24"/>
        </w:rPr>
        <w:t xml:space="preserve">, A. (2026). Reconstructing Al-Ghazali's character education through a tri-center framework: A conceptual response to contemporary moral challenges. </w:t>
      </w:r>
      <w:proofErr w:type="spellStart"/>
      <w:r w:rsidRPr="00CE2E19">
        <w:rPr>
          <w:rFonts w:ascii="Garamond" w:hAnsi="Garamond"/>
          <w:sz w:val="24"/>
          <w:szCs w:val="24"/>
        </w:rPr>
        <w:t>Taqrib</w:t>
      </w:r>
      <w:proofErr w:type="spellEnd"/>
      <w:r w:rsidRPr="00CE2E19">
        <w:rPr>
          <w:rFonts w:ascii="Garamond" w:hAnsi="Garamond"/>
          <w:sz w:val="24"/>
          <w:szCs w:val="24"/>
        </w:rPr>
        <w:t xml:space="preserve">: Journal of Islamic Studies and Education, 4(2), 292–305. </w:t>
      </w:r>
      <w:hyperlink r:id="rId19" w:history="1">
        <w:r w:rsidRPr="00CE2E19">
          <w:rPr>
            <w:rStyle w:val="Hyperlink"/>
            <w:rFonts w:ascii="Garamond" w:hAnsi="Garamond"/>
            <w:sz w:val="24"/>
            <w:szCs w:val="24"/>
          </w:rPr>
          <w:t>https://doi.org/10.61994/taqrib.v4i2.2253</w:t>
        </w:r>
      </w:hyperlink>
    </w:p>
    <w:p w14:paraId="034733AE"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Fitriyah</w:t>
      </w:r>
      <w:proofErr w:type="spellEnd"/>
      <w:r w:rsidRPr="00CE2E19">
        <w:rPr>
          <w:rFonts w:ascii="Garamond" w:hAnsi="Garamond"/>
          <w:sz w:val="24"/>
          <w:szCs w:val="24"/>
        </w:rPr>
        <w:t xml:space="preserve">, F., </w:t>
      </w:r>
      <w:proofErr w:type="spellStart"/>
      <w:r w:rsidRPr="00CE2E19">
        <w:rPr>
          <w:rFonts w:ascii="Garamond" w:hAnsi="Garamond"/>
          <w:sz w:val="24"/>
          <w:szCs w:val="24"/>
        </w:rPr>
        <w:t>Zakariyah</w:t>
      </w:r>
      <w:proofErr w:type="spellEnd"/>
      <w:r w:rsidRPr="00CE2E19">
        <w:rPr>
          <w:rFonts w:ascii="Garamond" w:hAnsi="Garamond"/>
          <w:sz w:val="24"/>
          <w:szCs w:val="24"/>
        </w:rPr>
        <w:t xml:space="preserve">, Z., &amp; </w:t>
      </w:r>
      <w:proofErr w:type="spellStart"/>
      <w:r w:rsidRPr="00CE2E19">
        <w:rPr>
          <w:rFonts w:ascii="Garamond" w:hAnsi="Garamond"/>
          <w:sz w:val="24"/>
          <w:szCs w:val="24"/>
        </w:rPr>
        <w:t>Dwijo</w:t>
      </w:r>
      <w:proofErr w:type="spellEnd"/>
      <w:r w:rsidRPr="00CE2E19">
        <w:rPr>
          <w:rFonts w:ascii="Garamond" w:hAnsi="Garamond"/>
          <w:sz w:val="24"/>
          <w:szCs w:val="24"/>
        </w:rPr>
        <w:t xml:space="preserve">, A. Q. N. E. S. (2024). Strategi guru </w:t>
      </w:r>
      <w:proofErr w:type="spellStart"/>
      <w:r w:rsidRPr="00CE2E19">
        <w:rPr>
          <w:rFonts w:ascii="Garamond" w:hAnsi="Garamond"/>
          <w:sz w:val="24"/>
          <w:szCs w:val="24"/>
        </w:rPr>
        <w:t>Akidah</w:t>
      </w:r>
      <w:proofErr w:type="spellEnd"/>
      <w:r w:rsidRPr="00CE2E19">
        <w:rPr>
          <w:rFonts w:ascii="Garamond" w:hAnsi="Garamond"/>
          <w:sz w:val="24"/>
          <w:szCs w:val="24"/>
        </w:rPr>
        <w:t xml:space="preserve"> </w:t>
      </w:r>
      <w:proofErr w:type="spellStart"/>
      <w:r w:rsidRPr="00CE2E19">
        <w:rPr>
          <w:rFonts w:ascii="Garamond" w:hAnsi="Garamond"/>
          <w:sz w:val="24"/>
          <w:szCs w:val="24"/>
        </w:rPr>
        <w:t>Akhlak</w:t>
      </w:r>
      <w:proofErr w:type="spellEnd"/>
      <w:r w:rsidRPr="00CE2E19">
        <w:rPr>
          <w:rFonts w:ascii="Garamond" w:hAnsi="Garamond"/>
          <w:sz w:val="24"/>
          <w:szCs w:val="24"/>
        </w:rPr>
        <w:t xml:space="preserve"> </w:t>
      </w:r>
      <w:proofErr w:type="spellStart"/>
      <w:r w:rsidRPr="00CE2E19">
        <w:rPr>
          <w:rFonts w:ascii="Garamond" w:hAnsi="Garamond"/>
          <w:sz w:val="24"/>
          <w:szCs w:val="24"/>
        </w:rPr>
        <w:t>dalam</w:t>
      </w:r>
      <w:proofErr w:type="spellEnd"/>
      <w:r w:rsidRPr="00CE2E19">
        <w:rPr>
          <w:rFonts w:ascii="Garamond" w:hAnsi="Garamond"/>
          <w:sz w:val="24"/>
          <w:szCs w:val="24"/>
        </w:rPr>
        <w:t xml:space="preserve"> </w:t>
      </w:r>
      <w:proofErr w:type="spellStart"/>
      <w:r w:rsidRPr="00CE2E19">
        <w:rPr>
          <w:rFonts w:ascii="Garamond" w:hAnsi="Garamond"/>
          <w:sz w:val="24"/>
          <w:szCs w:val="24"/>
        </w:rPr>
        <w:t>menghadapi</w:t>
      </w:r>
      <w:proofErr w:type="spellEnd"/>
      <w:r w:rsidRPr="00CE2E19">
        <w:rPr>
          <w:rFonts w:ascii="Garamond" w:hAnsi="Garamond"/>
          <w:sz w:val="24"/>
          <w:szCs w:val="24"/>
        </w:rPr>
        <w:t xml:space="preserve"> </w:t>
      </w:r>
      <w:proofErr w:type="spellStart"/>
      <w:r w:rsidRPr="00CE2E19">
        <w:rPr>
          <w:rFonts w:ascii="Garamond" w:hAnsi="Garamond"/>
          <w:sz w:val="24"/>
          <w:szCs w:val="24"/>
        </w:rPr>
        <w:t>tantangan</w:t>
      </w:r>
      <w:proofErr w:type="spellEnd"/>
      <w:r w:rsidRPr="00CE2E19">
        <w:rPr>
          <w:rFonts w:ascii="Garamond" w:hAnsi="Garamond"/>
          <w:sz w:val="24"/>
          <w:szCs w:val="24"/>
        </w:rPr>
        <w:t xml:space="preserve"> </w:t>
      </w:r>
      <w:proofErr w:type="spellStart"/>
      <w:r w:rsidRPr="00CE2E19">
        <w:rPr>
          <w:rFonts w:ascii="Garamond" w:hAnsi="Garamond"/>
          <w:sz w:val="24"/>
          <w:szCs w:val="24"/>
        </w:rPr>
        <w:t>perilaku</w:t>
      </w:r>
      <w:proofErr w:type="spellEnd"/>
      <w:r w:rsidRPr="00CE2E19">
        <w:rPr>
          <w:rFonts w:ascii="Garamond" w:hAnsi="Garamond"/>
          <w:sz w:val="24"/>
          <w:szCs w:val="24"/>
        </w:rPr>
        <w:t xml:space="preserve"> </w:t>
      </w:r>
      <w:proofErr w:type="spellStart"/>
      <w:r w:rsidRPr="00CE2E19">
        <w:rPr>
          <w:rFonts w:ascii="Garamond" w:hAnsi="Garamond"/>
          <w:sz w:val="24"/>
          <w:szCs w:val="24"/>
        </w:rPr>
        <w:t>sosial</w:t>
      </w:r>
      <w:proofErr w:type="spellEnd"/>
      <w:r w:rsidRPr="00CE2E19">
        <w:rPr>
          <w:rFonts w:ascii="Garamond" w:hAnsi="Garamond"/>
          <w:sz w:val="24"/>
          <w:szCs w:val="24"/>
        </w:rPr>
        <w:t xml:space="preserve"> </w:t>
      </w:r>
      <w:proofErr w:type="spellStart"/>
      <w:r w:rsidRPr="00CE2E19">
        <w:rPr>
          <w:rFonts w:ascii="Garamond" w:hAnsi="Garamond"/>
          <w:sz w:val="24"/>
          <w:szCs w:val="24"/>
        </w:rPr>
        <w:t>peserta</w:t>
      </w:r>
      <w:proofErr w:type="spellEnd"/>
      <w:r w:rsidRPr="00CE2E19">
        <w:rPr>
          <w:rFonts w:ascii="Garamond" w:hAnsi="Garamond"/>
          <w:sz w:val="24"/>
          <w:szCs w:val="24"/>
        </w:rPr>
        <w:t xml:space="preserve"> </w:t>
      </w:r>
      <w:proofErr w:type="spellStart"/>
      <w:r w:rsidRPr="00CE2E19">
        <w:rPr>
          <w:rFonts w:ascii="Garamond" w:hAnsi="Garamond"/>
          <w:sz w:val="24"/>
          <w:szCs w:val="24"/>
        </w:rPr>
        <w:t>didik</w:t>
      </w:r>
      <w:proofErr w:type="spellEnd"/>
      <w:r w:rsidRPr="00CE2E19">
        <w:rPr>
          <w:rFonts w:ascii="Garamond" w:hAnsi="Garamond"/>
          <w:sz w:val="24"/>
          <w:szCs w:val="24"/>
        </w:rPr>
        <w:t xml:space="preserve"> pada </w:t>
      </w:r>
      <w:proofErr w:type="spellStart"/>
      <w:r w:rsidRPr="00CE2E19">
        <w:rPr>
          <w:rFonts w:ascii="Garamond" w:hAnsi="Garamond"/>
          <w:sz w:val="24"/>
          <w:szCs w:val="24"/>
        </w:rPr>
        <w:t>abad</w:t>
      </w:r>
      <w:proofErr w:type="spellEnd"/>
      <w:r w:rsidRPr="00CE2E19">
        <w:rPr>
          <w:rFonts w:ascii="Garamond" w:hAnsi="Garamond"/>
          <w:sz w:val="24"/>
          <w:szCs w:val="24"/>
        </w:rPr>
        <w:t xml:space="preserve"> 21 di madrasah. </w:t>
      </w:r>
      <w:proofErr w:type="spellStart"/>
      <w:r w:rsidRPr="00CE2E19">
        <w:rPr>
          <w:rFonts w:ascii="Garamond" w:hAnsi="Garamond"/>
          <w:sz w:val="24"/>
          <w:szCs w:val="24"/>
        </w:rPr>
        <w:t>Dirasat</w:t>
      </w:r>
      <w:proofErr w:type="spellEnd"/>
      <w:r w:rsidRPr="00CE2E19">
        <w:rPr>
          <w:rFonts w:ascii="Garamond" w:hAnsi="Garamond"/>
          <w:sz w:val="24"/>
          <w:szCs w:val="24"/>
        </w:rPr>
        <w:t xml:space="preserve">: </w:t>
      </w:r>
      <w:proofErr w:type="spellStart"/>
      <w:r w:rsidRPr="00CE2E19">
        <w:rPr>
          <w:rFonts w:ascii="Garamond" w:hAnsi="Garamond"/>
          <w:sz w:val="24"/>
          <w:szCs w:val="24"/>
        </w:rPr>
        <w:t>Jurnal</w:t>
      </w:r>
      <w:proofErr w:type="spellEnd"/>
      <w:r w:rsidRPr="00CE2E19">
        <w:rPr>
          <w:rFonts w:ascii="Garamond" w:hAnsi="Garamond"/>
          <w:sz w:val="24"/>
          <w:szCs w:val="24"/>
        </w:rPr>
        <w:t xml:space="preserve"> </w:t>
      </w:r>
      <w:proofErr w:type="spellStart"/>
      <w:r w:rsidRPr="00CE2E19">
        <w:rPr>
          <w:rFonts w:ascii="Garamond" w:hAnsi="Garamond"/>
          <w:sz w:val="24"/>
          <w:szCs w:val="24"/>
        </w:rPr>
        <w:t>Manajemen</w:t>
      </w:r>
      <w:proofErr w:type="spellEnd"/>
      <w:r w:rsidRPr="00CE2E19">
        <w:rPr>
          <w:rFonts w:ascii="Garamond" w:hAnsi="Garamond"/>
          <w:sz w:val="24"/>
          <w:szCs w:val="24"/>
        </w:rPr>
        <w:t xml:space="preserve"> dan Pendidikan Islam, 10(2), 193–211. </w:t>
      </w:r>
      <w:hyperlink r:id="rId20" w:history="1">
        <w:r w:rsidRPr="00CE2E19">
          <w:rPr>
            <w:rStyle w:val="Hyperlink"/>
            <w:rFonts w:ascii="Garamond" w:hAnsi="Garamond"/>
            <w:sz w:val="24"/>
            <w:szCs w:val="24"/>
          </w:rPr>
          <w:t>https://doi.org/10.26594/dirasat.v10i2.5343</w:t>
        </w:r>
      </w:hyperlink>
    </w:p>
    <w:p w14:paraId="5D9653FB"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Hardani</w:t>
      </w:r>
      <w:proofErr w:type="spellEnd"/>
      <w:r w:rsidRPr="00CE2E19">
        <w:rPr>
          <w:rFonts w:ascii="Garamond" w:hAnsi="Garamond"/>
          <w:sz w:val="24"/>
          <w:szCs w:val="24"/>
        </w:rPr>
        <w:t xml:space="preserve">, H., </w:t>
      </w:r>
      <w:proofErr w:type="spellStart"/>
      <w:r w:rsidRPr="00CE2E19">
        <w:rPr>
          <w:rFonts w:ascii="Garamond" w:hAnsi="Garamond"/>
          <w:sz w:val="24"/>
          <w:szCs w:val="24"/>
        </w:rPr>
        <w:t>Auliya</w:t>
      </w:r>
      <w:proofErr w:type="spellEnd"/>
      <w:r w:rsidRPr="00CE2E19">
        <w:rPr>
          <w:rFonts w:ascii="Garamond" w:hAnsi="Garamond"/>
          <w:sz w:val="24"/>
          <w:szCs w:val="24"/>
        </w:rPr>
        <w:t xml:space="preserve">, N. H., </w:t>
      </w:r>
      <w:proofErr w:type="spellStart"/>
      <w:r w:rsidRPr="00CE2E19">
        <w:rPr>
          <w:rFonts w:ascii="Garamond" w:hAnsi="Garamond"/>
          <w:sz w:val="24"/>
          <w:szCs w:val="24"/>
        </w:rPr>
        <w:t>Andriani</w:t>
      </w:r>
      <w:proofErr w:type="spellEnd"/>
      <w:r w:rsidRPr="00CE2E19">
        <w:rPr>
          <w:rFonts w:ascii="Garamond" w:hAnsi="Garamond"/>
          <w:sz w:val="24"/>
          <w:szCs w:val="24"/>
        </w:rPr>
        <w:t xml:space="preserve">, H., </w:t>
      </w:r>
      <w:proofErr w:type="spellStart"/>
      <w:r w:rsidRPr="00CE2E19">
        <w:rPr>
          <w:rFonts w:ascii="Garamond" w:hAnsi="Garamond"/>
          <w:sz w:val="24"/>
          <w:szCs w:val="24"/>
        </w:rPr>
        <w:t>Fardani</w:t>
      </w:r>
      <w:proofErr w:type="spellEnd"/>
      <w:r w:rsidRPr="00CE2E19">
        <w:rPr>
          <w:rFonts w:ascii="Garamond" w:hAnsi="Garamond"/>
          <w:sz w:val="24"/>
          <w:szCs w:val="24"/>
        </w:rPr>
        <w:t xml:space="preserve">, R. A., </w:t>
      </w:r>
      <w:proofErr w:type="spellStart"/>
      <w:r w:rsidRPr="00CE2E19">
        <w:rPr>
          <w:rFonts w:ascii="Garamond" w:hAnsi="Garamond"/>
          <w:sz w:val="24"/>
          <w:szCs w:val="24"/>
        </w:rPr>
        <w:t>Ustiawaty</w:t>
      </w:r>
      <w:proofErr w:type="spellEnd"/>
      <w:r w:rsidRPr="00CE2E19">
        <w:rPr>
          <w:rFonts w:ascii="Garamond" w:hAnsi="Garamond"/>
          <w:sz w:val="24"/>
          <w:szCs w:val="24"/>
        </w:rPr>
        <w:t xml:space="preserve">, J., </w:t>
      </w:r>
      <w:proofErr w:type="spellStart"/>
      <w:r w:rsidRPr="00CE2E19">
        <w:rPr>
          <w:rFonts w:ascii="Garamond" w:hAnsi="Garamond"/>
          <w:sz w:val="24"/>
          <w:szCs w:val="24"/>
        </w:rPr>
        <w:t>Utami</w:t>
      </w:r>
      <w:proofErr w:type="spellEnd"/>
      <w:r w:rsidRPr="00CE2E19">
        <w:rPr>
          <w:rFonts w:ascii="Garamond" w:hAnsi="Garamond"/>
          <w:sz w:val="24"/>
          <w:szCs w:val="24"/>
        </w:rPr>
        <w:t xml:space="preserve">, E. F., </w:t>
      </w:r>
      <w:proofErr w:type="spellStart"/>
      <w:r w:rsidRPr="00CE2E19">
        <w:rPr>
          <w:rFonts w:ascii="Garamond" w:hAnsi="Garamond"/>
          <w:sz w:val="24"/>
          <w:szCs w:val="24"/>
        </w:rPr>
        <w:t>Sukmana</w:t>
      </w:r>
      <w:proofErr w:type="spellEnd"/>
      <w:r w:rsidRPr="00CE2E19">
        <w:rPr>
          <w:rFonts w:ascii="Garamond" w:hAnsi="Garamond"/>
          <w:sz w:val="24"/>
          <w:szCs w:val="24"/>
        </w:rPr>
        <w:t xml:space="preserve">, D. J., &amp; </w:t>
      </w:r>
      <w:proofErr w:type="spellStart"/>
      <w:r w:rsidRPr="00CE2E19">
        <w:rPr>
          <w:rFonts w:ascii="Garamond" w:hAnsi="Garamond"/>
          <w:sz w:val="24"/>
          <w:szCs w:val="24"/>
        </w:rPr>
        <w:t>Istiqomah</w:t>
      </w:r>
      <w:proofErr w:type="spellEnd"/>
      <w:r w:rsidRPr="00CE2E19">
        <w:rPr>
          <w:rFonts w:ascii="Garamond" w:hAnsi="Garamond"/>
          <w:sz w:val="24"/>
          <w:szCs w:val="24"/>
        </w:rPr>
        <w:t xml:space="preserve">, R. R. (2020). </w:t>
      </w:r>
      <w:proofErr w:type="spellStart"/>
      <w:r w:rsidRPr="00CE2E19">
        <w:rPr>
          <w:rFonts w:ascii="Garamond" w:hAnsi="Garamond"/>
          <w:sz w:val="24"/>
          <w:szCs w:val="24"/>
        </w:rPr>
        <w:t>Metode</w:t>
      </w:r>
      <w:proofErr w:type="spellEnd"/>
      <w:r w:rsidRPr="00CE2E19">
        <w:rPr>
          <w:rFonts w:ascii="Garamond" w:hAnsi="Garamond"/>
          <w:sz w:val="24"/>
          <w:szCs w:val="24"/>
        </w:rPr>
        <w:t xml:space="preserve"> </w:t>
      </w:r>
      <w:proofErr w:type="spellStart"/>
      <w:r w:rsidRPr="00CE2E19">
        <w:rPr>
          <w:rFonts w:ascii="Garamond" w:hAnsi="Garamond"/>
          <w:sz w:val="24"/>
          <w:szCs w:val="24"/>
        </w:rPr>
        <w:t>penelitian</w:t>
      </w:r>
      <w:proofErr w:type="spellEnd"/>
      <w:r w:rsidRPr="00CE2E19">
        <w:rPr>
          <w:rFonts w:ascii="Garamond" w:hAnsi="Garamond"/>
          <w:sz w:val="24"/>
          <w:szCs w:val="24"/>
        </w:rPr>
        <w:t xml:space="preserve"> </w:t>
      </w:r>
      <w:proofErr w:type="spellStart"/>
      <w:r w:rsidRPr="00CE2E19">
        <w:rPr>
          <w:rFonts w:ascii="Garamond" w:hAnsi="Garamond"/>
          <w:sz w:val="24"/>
          <w:szCs w:val="24"/>
        </w:rPr>
        <w:t>kualitatif</w:t>
      </w:r>
      <w:proofErr w:type="spellEnd"/>
      <w:r w:rsidRPr="00CE2E19">
        <w:rPr>
          <w:rFonts w:ascii="Garamond" w:hAnsi="Garamond"/>
          <w:sz w:val="24"/>
          <w:szCs w:val="24"/>
        </w:rPr>
        <w:t xml:space="preserve"> dan </w:t>
      </w:r>
      <w:proofErr w:type="spellStart"/>
      <w:r w:rsidRPr="00CE2E19">
        <w:rPr>
          <w:rFonts w:ascii="Garamond" w:hAnsi="Garamond"/>
          <w:sz w:val="24"/>
          <w:szCs w:val="24"/>
        </w:rPr>
        <w:t>kuantitatif</w:t>
      </w:r>
      <w:proofErr w:type="spellEnd"/>
      <w:r w:rsidRPr="00CE2E19">
        <w:rPr>
          <w:rFonts w:ascii="Garamond" w:hAnsi="Garamond"/>
          <w:sz w:val="24"/>
          <w:szCs w:val="24"/>
        </w:rPr>
        <w:t xml:space="preserve">. Pustaka </w:t>
      </w:r>
      <w:proofErr w:type="spellStart"/>
      <w:r w:rsidRPr="00CE2E19">
        <w:rPr>
          <w:rFonts w:ascii="Garamond" w:hAnsi="Garamond"/>
          <w:sz w:val="24"/>
          <w:szCs w:val="24"/>
        </w:rPr>
        <w:t>Ilmu</w:t>
      </w:r>
      <w:proofErr w:type="spellEnd"/>
      <w:r w:rsidRPr="00CE2E19">
        <w:rPr>
          <w:rFonts w:ascii="Garamond" w:hAnsi="Garamond"/>
          <w:sz w:val="24"/>
          <w:szCs w:val="24"/>
        </w:rPr>
        <w:t>.</w:t>
      </w:r>
    </w:p>
    <w:p w14:paraId="6B209FBF"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Hermawan</w:t>
      </w:r>
      <w:proofErr w:type="spellEnd"/>
      <w:r w:rsidRPr="00CE2E19">
        <w:rPr>
          <w:rFonts w:ascii="Garamond" w:hAnsi="Garamond"/>
          <w:sz w:val="24"/>
          <w:szCs w:val="24"/>
        </w:rPr>
        <w:t xml:space="preserve">, W., &amp; </w:t>
      </w:r>
      <w:proofErr w:type="spellStart"/>
      <w:r w:rsidRPr="00CE2E19">
        <w:rPr>
          <w:rFonts w:ascii="Garamond" w:hAnsi="Garamond"/>
          <w:sz w:val="24"/>
          <w:szCs w:val="24"/>
        </w:rPr>
        <w:t>Sudin</w:t>
      </w:r>
      <w:proofErr w:type="spellEnd"/>
      <w:r w:rsidRPr="00CE2E19">
        <w:rPr>
          <w:rFonts w:ascii="Garamond" w:hAnsi="Garamond"/>
          <w:sz w:val="24"/>
          <w:szCs w:val="24"/>
        </w:rPr>
        <w:t xml:space="preserve">, M. (2025). Moral education approaches: Ibn </w:t>
      </w:r>
      <w:proofErr w:type="spellStart"/>
      <w:r w:rsidRPr="00CE2E19">
        <w:rPr>
          <w:rFonts w:ascii="Garamond" w:hAnsi="Garamond"/>
          <w:sz w:val="24"/>
          <w:szCs w:val="24"/>
        </w:rPr>
        <w:t>Miskawayh</w:t>
      </w:r>
      <w:proofErr w:type="spellEnd"/>
      <w:r w:rsidRPr="00CE2E19">
        <w:rPr>
          <w:rFonts w:ascii="Garamond" w:hAnsi="Garamond"/>
          <w:sz w:val="24"/>
          <w:szCs w:val="24"/>
        </w:rPr>
        <w:t xml:space="preserve"> and Imam Al-Ghazali. </w:t>
      </w:r>
      <w:proofErr w:type="spellStart"/>
      <w:r w:rsidRPr="00CE2E19">
        <w:rPr>
          <w:rFonts w:ascii="Garamond" w:hAnsi="Garamond"/>
          <w:sz w:val="24"/>
          <w:szCs w:val="24"/>
        </w:rPr>
        <w:t>Jurnal</w:t>
      </w:r>
      <w:proofErr w:type="spellEnd"/>
      <w:r w:rsidRPr="00CE2E19">
        <w:rPr>
          <w:rFonts w:ascii="Garamond" w:hAnsi="Garamond"/>
          <w:sz w:val="24"/>
          <w:szCs w:val="24"/>
        </w:rPr>
        <w:t xml:space="preserve"> </w:t>
      </w:r>
      <w:proofErr w:type="spellStart"/>
      <w:r w:rsidRPr="00CE2E19">
        <w:rPr>
          <w:rFonts w:ascii="Garamond" w:hAnsi="Garamond"/>
          <w:sz w:val="24"/>
          <w:szCs w:val="24"/>
        </w:rPr>
        <w:t>Hadratul</w:t>
      </w:r>
      <w:proofErr w:type="spellEnd"/>
      <w:r w:rsidRPr="00CE2E19">
        <w:rPr>
          <w:rFonts w:ascii="Garamond" w:hAnsi="Garamond"/>
          <w:sz w:val="24"/>
          <w:szCs w:val="24"/>
        </w:rPr>
        <w:t xml:space="preserve"> </w:t>
      </w:r>
      <w:proofErr w:type="spellStart"/>
      <w:r w:rsidRPr="00CE2E19">
        <w:rPr>
          <w:rFonts w:ascii="Garamond" w:hAnsi="Garamond"/>
          <w:sz w:val="24"/>
          <w:szCs w:val="24"/>
        </w:rPr>
        <w:t>Madaniyah</w:t>
      </w:r>
      <w:proofErr w:type="spellEnd"/>
      <w:r w:rsidRPr="00CE2E19">
        <w:rPr>
          <w:rFonts w:ascii="Garamond" w:hAnsi="Garamond"/>
          <w:sz w:val="24"/>
          <w:szCs w:val="24"/>
        </w:rPr>
        <w:t xml:space="preserve">, 12(1), 80–90. </w:t>
      </w:r>
      <w:hyperlink r:id="rId21" w:history="1">
        <w:r w:rsidRPr="00CE2E19">
          <w:rPr>
            <w:rStyle w:val="Hyperlink"/>
            <w:rFonts w:ascii="Garamond" w:hAnsi="Garamond"/>
            <w:sz w:val="24"/>
            <w:szCs w:val="24"/>
          </w:rPr>
          <w:t>https://doi.org/10.33084/jhm.v12i1.9835</w:t>
        </w:r>
      </w:hyperlink>
    </w:p>
    <w:p w14:paraId="5D9D51E1"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Hidayatulloh</w:t>
      </w:r>
      <w:proofErr w:type="spellEnd"/>
      <w:r w:rsidRPr="00CE2E19">
        <w:rPr>
          <w:rFonts w:ascii="Garamond" w:hAnsi="Garamond"/>
          <w:sz w:val="24"/>
          <w:szCs w:val="24"/>
        </w:rPr>
        <w:t xml:space="preserve">, T., </w:t>
      </w:r>
      <w:proofErr w:type="spellStart"/>
      <w:r w:rsidRPr="00CE2E19">
        <w:rPr>
          <w:rFonts w:ascii="Garamond" w:hAnsi="Garamond"/>
          <w:sz w:val="24"/>
          <w:szCs w:val="24"/>
        </w:rPr>
        <w:t>Saumantri</w:t>
      </w:r>
      <w:proofErr w:type="spellEnd"/>
      <w:r w:rsidRPr="00CE2E19">
        <w:rPr>
          <w:rFonts w:ascii="Garamond" w:hAnsi="Garamond"/>
          <w:sz w:val="24"/>
          <w:szCs w:val="24"/>
        </w:rPr>
        <w:t xml:space="preserve">, T., &amp; </w:t>
      </w:r>
      <w:proofErr w:type="spellStart"/>
      <w:r w:rsidRPr="00CE2E19">
        <w:rPr>
          <w:rFonts w:ascii="Garamond" w:hAnsi="Garamond"/>
          <w:sz w:val="24"/>
          <w:szCs w:val="24"/>
        </w:rPr>
        <w:t>Ramdani</w:t>
      </w:r>
      <w:proofErr w:type="spellEnd"/>
      <w:r w:rsidRPr="00CE2E19">
        <w:rPr>
          <w:rFonts w:ascii="Garamond" w:hAnsi="Garamond"/>
          <w:sz w:val="24"/>
          <w:szCs w:val="24"/>
        </w:rPr>
        <w:t xml:space="preserve">, Z. (2024). Integrating Living Values Education into Indonesian Islamic schools: An innovation in character building. EDUKASI: </w:t>
      </w:r>
      <w:proofErr w:type="spellStart"/>
      <w:r w:rsidRPr="00CE2E19">
        <w:rPr>
          <w:rFonts w:ascii="Garamond" w:hAnsi="Garamond"/>
          <w:sz w:val="24"/>
          <w:szCs w:val="24"/>
        </w:rPr>
        <w:t>Jurnal</w:t>
      </w:r>
      <w:proofErr w:type="spellEnd"/>
      <w:r w:rsidRPr="00CE2E19">
        <w:rPr>
          <w:rFonts w:ascii="Garamond" w:hAnsi="Garamond"/>
          <w:sz w:val="24"/>
          <w:szCs w:val="24"/>
        </w:rPr>
        <w:t xml:space="preserve"> </w:t>
      </w:r>
      <w:proofErr w:type="spellStart"/>
      <w:r w:rsidRPr="00CE2E19">
        <w:rPr>
          <w:rFonts w:ascii="Garamond" w:hAnsi="Garamond"/>
          <w:sz w:val="24"/>
          <w:szCs w:val="24"/>
        </w:rPr>
        <w:t>Penelitian</w:t>
      </w:r>
      <w:proofErr w:type="spellEnd"/>
      <w:r w:rsidRPr="00CE2E19">
        <w:rPr>
          <w:rFonts w:ascii="Garamond" w:hAnsi="Garamond"/>
          <w:sz w:val="24"/>
          <w:szCs w:val="24"/>
        </w:rPr>
        <w:t xml:space="preserve"> Pendidikan Agama dan </w:t>
      </w:r>
      <w:proofErr w:type="spellStart"/>
      <w:r w:rsidRPr="00CE2E19">
        <w:rPr>
          <w:rFonts w:ascii="Garamond" w:hAnsi="Garamond"/>
          <w:sz w:val="24"/>
          <w:szCs w:val="24"/>
        </w:rPr>
        <w:t>Keagamaan</w:t>
      </w:r>
      <w:proofErr w:type="spellEnd"/>
      <w:r w:rsidRPr="00CE2E19">
        <w:rPr>
          <w:rFonts w:ascii="Garamond" w:hAnsi="Garamond"/>
          <w:sz w:val="24"/>
          <w:szCs w:val="24"/>
        </w:rPr>
        <w:t xml:space="preserve">, 22(1), 137–152. </w:t>
      </w:r>
      <w:hyperlink r:id="rId22" w:history="1">
        <w:r w:rsidRPr="00CE2E19">
          <w:rPr>
            <w:rStyle w:val="Hyperlink"/>
            <w:rFonts w:ascii="Garamond" w:hAnsi="Garamond"/>
            <w:sz w:val="24"/>
            <w:szCs w:val="24"/>
          </w:rPr>
          <w:t>https://doi.org/10.32729/edukasi.v22i1.1743</w:t>
        </w:r>
      </w:hyperlink>
    </w:p>
    <w:p w14:paraId="775B095D"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Hilmi</w:t>
      </w:r>
      <w:proofErr w:type="spellEnd"/>
      <w:r w:rsidRPr="00CE2E19">
        <w:rPr>
          <w:rFonts w:ascii="Garamond" w:hAnsi="Garamond"/>
          <w:sz w:val="24"/>
          <w:szCs w:val="24"/>
        </w:rPr>
        <w:t xml:space="preserve">, F., </w:t>
      </w:r>
      <w:proofErr w:type="spellStart"/>
      <w:r w:rsidRPr="00CE2E19">
        <w:rPr>
          <w:rFonts w:ascii="Garamond" w:hAnsi="Garamond"/>
          <w:sz w:val="24"/>
          <w:szCs w:val="24"/>
        </w:rPr>
        <w:t>Annibras</w:t>
      </w:r>
      <w:proofErr w:type="spellEnd"/>
      <w:r w:rsidRPr="00CE2E19">
        <w:rPr>
          <w:rFonts w:ascii="Garamond" w:hAnsi="Garamond"/>
          <w:sz w:val="24"/>
          <w:szCs w:val="24"/>
        </w:rPr>
        <w:t xml:space="preserve">, N. R., &amp; </w:t>
      </w:r>
      <w:proofErr w:type="spellStart"/>
      <w:r w:rsidRPr="00CE2E19">
        <w:rPr>
          <w:rFonts w:ascii="Garamond" w:hAnsi="Garamond"/>
          <w:sz w:val="24"/>
          <w:szCs w:val="24"/>
        </w:rPr>
        <w:t>Fatoni</w:t>
      </w:r>
      <w:proofErr w:type="spellEnd"/>
      <w:r w:rsidRPr="00CE2E19">
        <w:rPr>
          <w:rFonts w:ascii="Garamond" w:hAnsi="Garamond"/>
          <w:sz w:val="24"/>
          <w:szCs w:val="24"/>
        </w:rPr>
        <w:t xml:space="preserve">, A. G. (2023). Implementation of Islamic character education in developing religious moderation at vocational high school. </w:t>
      </w:r>
      <w:proofErr w:type="spellStart"/>
      <w:r w:rsidRPr="00CE2E19">
        <w:rPr>
          <w:rFonts w:ascii="Garamond" w:hAnsi="Garamond"/>
          <w:sz w:val="24"/>
          <w:szCs w:val="24"/>
        </w:rPr>
        <w:t>Atthulab</w:t>
      </w:r>
      <w:proofErr w:type="spellEnd"/>
      <w:r w:rsidRPr="00CE2E19">
        <w:rPr>
          <w:rFonts w:ascii="Garamond" w:hAnsi="Garamond"/>
          <w:sz w:val="24"/>
          <w:szCs w:val="24"/>
        </w:rPr>
        <w:t xml:space="preserve">: Islamic Religion Teaching and Learning Journal, 8(2), 261–274. </w:t>
      </w:r>
      <w:hyperlink r:id="rId23" w:history="1">
        <w:r w:rsidRPr="00CE2E19">
          <w:rPr>
            <w:rStyle w:val="Hyperlink"/>
            <w:rFonts w:ascii="Garamond" w:hAnsi="Garamond"/>
            <w:sz w:val="24"/>
            <w:szCs w:val="24"/>
          </w:rPr>
          <w:t>https://doi.org/10.15575/ath.v8i2.24900</w:t>
        </w:r>
      </w:hyperlink>
    </w:p>
    <w:p w14:paraId="7A8332D0"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Humaida</w:t>
      </w:r>
      <w:proofErr w:type="spellEnd"/>
      <w:r w:rsidRPr="00CE2E19">
        <w:rPr>
          <w:rFonts w:ascii="Garamond" w:hAnsi="Garamond"/>
          <w:sz w:val="24"/>
          <w:szCs w:val="24"/>
        </w:rPr>
        <w:t xml:space="preserve">, D. A. A., </w:t>
      </w:r>
      <w:proofErr w:type="spellStart"/>
      <w:r w:rsidRPr="00CE2E19">
        <w:rPr>
          <w:rFonts w:ascii="Garamond" w:hAnsi="Garamond"/>
          <w:sz w:val="24"/>
          <w:szCs w:val="24"/>
        </w:rPr>
        <w:t>Kunaepi</w:t>
      </w:r>
      <w:proofErr w:type="spellEnd"/>
      <w:r w:rsidRPr="00CE2E19">
        <w:rPr>
          <w:rFonts w:ascii="Garamond" w:hAnsi="Garamond"/>
          <w:sz w:val="24"/>
          <w:szCs w:val="24"/>
        </w:rPr>
        <w:t xml:space="preserve">, A., &amp; </w:t>
      </w:r>
      <w:proofErr w:type="spellStart"/>
      <w:r w:rsidRPr="00CE2E19">
        <w:rPr>
          <w:rFonts w:ascii="Garamond" w:hAnsi="Garamond"/>
          <w:sz w:val="24"/>
          <w:szCs w:val="24"/>
        </w:rPr>
        <w:t>Perwita</w:t>
      </w:r>
      <w:proofErr w:type="spellEnd"/>
      <w:r w:rsidRPr="00CE2E19">
        <w:rPr>
          <w:rFonts w:ascii="Garamond" w:hAnsi="Garamond"/>
          <w:sz w:val="24"/>
          <w:szCs w:val="24"/>
        </w:rPr>
        <w:t xml:space="preserve">, A. D. (2024). Strategi guru </w:t>
      </w:r>
      <w:proofErr w:type="spellStart"/>
      <w:r w:rsidRPr="00CE2E19">
        <w:rPr>
          <w:rFonts w:ascii="Garamond" w:hAnsi="Garamond"/>
          <w:sz w:val="24"/>
          <w:szCs w:val="24"/>
        </w:rPr>
        <w:t>Akidah</w:t>
      </w:r>
      <w:proofErr w:type="spellEnd"/>
      <w:r w:rsidRPr="00CE2E19">
        <w:rPr>
          <w:rFonts w:ascii="Garamond" w:hAnsi="Garamond"/>
          <w:sz w:val="24"/>
          <w:szCs w:val="24"/>
        </w:rPr>
        <w:t xml:space="preserve"> </w:t>
      </w:r>
      <w:proofErr w:type="spellStart"/>
      <w:r w:rsidRPr="00CE2E19">
        <w:rPr>
          <w:rFonts w:ascii="Garamond" w:hAnsi="Garamond"/>
          <w:sz w:val="24"/>
          <w:szCs w:val="24"/>
        </w:rPr>
        <w:t>Akhlak</w:t>
      </w:r>
      <w:proofErr w:type="spellEnd"/>
      <w:r w:rsidRPr="00CE2E19">
        <w:rPr>
          <w:rFonts w:ascii="Garamond" w:hAnsi="Garamond"/>
          <w:sz w:val="24"/>
          <w:szCs w:val="24"/>
        </w:rPr>
        <w:t xml:space="preserve"> </w:t>
      </w:r>
      <w:proofErr w:type="spellStart"/>
      <w:r w:rsidRPr="00CE2E19">
        <w:rPr>
          <w:rFonts w:ascii="Garamond" w:hAnsi="Garamond"/>
          <w:sz w:val="24"/>
          <w:szCs w:val="24"/>
        </w:rPr>
        <w:t>dalam</w:t>
      </w:r>
      <w:proofErr w:type="spellEnd"/>
      <w:r w:rsidRPr="00CE2E19">
        <w:rPr>
          <w:rFonts w:ascii="Garamond" w:hAnsi="Garamond"/>
          <w:sz w:val="24"/>
          <w:szCs w:val="24"/>
        </w:rPr>
        <w:t xml:space="preserve"> </w:t>
      </w:r>
      <w:proofErr w:type="spellStart"/>
      <w:r w:rsidRPr="00CE2E19">
        <w:rPr>
          <w:rFonts w:ascii="Garamond" w:hAnsi="Garamond"/>
          <w:sz w:val="24"/>
          <w:szCs w:val="24"/>
        </w:rPr>
        <w:t>mengatasi</w:t>
      </w:r>
      <w:proofErr w:type="spellEnd"/>
      <w:r w:rsidRPr="00CE2E19">
        <w:rPr>
          <w:rFonts w:ascii="Garamond" w:hAnsi="Garamond"/>
          <w:sz w:val="24"/>
          <w:szCs w:val="24"/>
        </w:rPr>
        <w:t xml:space="preserve"> </w:t>
      </w:r>
      <w:proofErr w:type="spellStart"/>
      <w:r w:rsidRPr="00CE2E19">
        <w:rPr>
          <w:rFonts w:ascii="Garamond" w:hAnsi="Garamond"/>
          <w:sz w:val="24"/>
          <w:szCs w:val="24"/>
        </w:rPr>
        <w:t>aksi</w:t>
      </w:r>
      <w:proofErr w:type="spellEnd"/>
      <w:r w:rsidRPr="00CE2E19">
        <w:rPr>
          <w:rFonts w:ascii="Garamond" w:hAnsi="Garamond"/>
          <w:sz w:val="24"/>
          <w:szCs w:val="24"/>
        </w:rPr>
        <w:t xml:space="preserve"> bullying di madrasah. </w:t>
      </w:r>
      <w:proofErr w:type="spellStart"/>
      <w:r w:rsidRPr="00CE2E19">
        <w:rPr>
          <w:rFonts w:ascii="Garamond" w:hAnsi="Garamond"/>
          <w:sz w:val="24"/>
          <w:szCs w:val="24"/>
        </w:rPr>
        <w:t>Tarbiyah</w:t>
      </w:r>
      <w:proofErr w:type="spellEnd"/>
      <w:r w:rsidRPr="00CE2E19">
        <w:rPr>
          <w:rFonts w:ascii="Garamond" w:hAnsi="Garamond"/>
          <w:sz w:val="24"/>
          <w:szCs w:val="24"/>
        </w:rPr>
        <w:t xml:space="preserve"> Islamiyah: </w:t>
      </w:r>
      <w:proofErr w:type="spellStart"/>
      <w:r w:rsidRPr="00CE2E19">
        <w:rPr>
          <w:rFonts w:ascii="Garamond" w:hAnsi="Garamond"/>
          <w:sz w:val="24"/>
          <w:szCs w:val="24"/>
        </w:rPr>
        <w:t>Jurnal</w:t>
      </w:r>
      <w:proofErr w:type="spellEnd"/>
      <w:r w:rsidRPr="00CE2E19">
        <w:rPr>
          <w:rFonts w:ascii="Garamond" w:hAnsi="Garamond"/>
          <w:sz w:val="24"/>
          <w:szCs w:val="24"/>
        </w:rPr>
        <w:t xml:space="preserve"> </w:t>
      </w:r>
      <w:proofErr w:type="spellStart"/>
      <w:r w:rsidRPr="00CE2E19">
        <w:rPr>
          <w:rFonts w:ascii="Garamond" w:hAnsi="Garamond"/>
          <w:sz w:val="24"/>
          <w:szCs w:val="24"/>
        </w:rPr>
        <w:t>Ilmiah</w:t>
      </w:r>
      <w:proofErr w:type="spellEnd"/>
      <w:r w:rsidRPr="00CE2E19">
        <w:rPr>
          <w:rFonts w:ascii="Garamond" w:hAnsi="Garamond"/>
          <w:sz w:val="24"/>
          <w:szCs w:val="24"/>
        </w:rPr>
        <w:t xml:space="preserve"> Pendidikan Agama Islam, 14(1), 1–15. </w:t>
      </w:r>
      <w:hyperlink r:id="rId24" w:history="1">
        <w:r w:rsidRPr="00CE2E19">
          <w:rPr>
            <w:rStyle w:val="Hyperlink"/>
            <w:rFonts w:ascii="Garamond" w:hAnsi="Garamond"/>
            <w:sz w:val="24"/>
            <w:szCs w:val="24"/>
          </w:rPr>
          <w:t>https://doi.org/10.18592/jtipai.v14i1.11707</w:t>
        </w:r>
      </w:hyperlink>
    </w:p>
    <w:p w14:paraId="1641437C"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lastRenderedPageBreak/>
        <w:t>Jailani</w:t>
      </w:r>
      <w:proofErr w:type="spellEnd"/>
      <w:r w:rsidRPr="00CE2E19">
        <w:rPr>
          <w:rFonts w:ascii="Garamond" w:hAnsi="Garamond"/>
          <w:sz w:val="24"/>
          <w:szCs w:val="24"/>
        </w:rPr>
        <w:t xml:space="preserve">, [initials to be verified]. (2026). Character education from an Islamic perspective as a foundation for ethical and responsible citizenship. Islamic Journal of Teaching and Learning, 2(1), 42–50. </w:t>
      </w:r>
      <w:hyperlink r:id="rId25" w:history="1">
        <w:r w:rsidRPr="00CE2E19">
          <w:rPr>
            <w:rStyle w:val="Hyperlink"/>
            <w:rFonts w:ascii="Garamond" w:hAnsi="Garamond"/>
            <w:sz w:val="24"/>
            <w:szCs w:val="24"/>
          </w:rPr>
          <w:t>https://doi.org/10.59784/jtlm.v2i1.24</w:t>
        </w:r>
      </w:hyperlink>
    </w:p>
    <w:p w14:paraId="60C6B181" w14:textId="77777777" w:rsidR="00CE2E19" w:rsidRPr="00CE2E19" w:rsidRDefault="00CE2E19" w:rsidP="00CE2E19">
      <w:pPr>
        <w:pStyle w:val="NoSpacing"/>
        <w:spacing w:line="276" w:lineRule="auto"/>
        <w:ind w:left="567" w:hanging="567"/>
        <w:jc w:val="both"/>
        <w:rPr>
          <w:rFonts w:ascii="Garamond" w:hAnsi="Garamond"/>
          <w:sz w:val="24"/>
          <w:szCs w:val="24"/>
        </w:rPr>
      </w:pPr>
      <w:r w:rsidRPr="00CE2E19">
        <w:rPr>
          <w:rFonts w:ascii="Garamond" w:hAnsi="Garamond"/>
          <w:sz w:val="24"/>
          <w:szCs w:val="24"/>
        </w:rPr>
        <w:t xml:space="preserve">Kurniawan, M. A., </w:t>
      </w:r>
      <w:proofErr w:type="spellStart"/>
      <w:r w:rsidRPr="00CE2E19">
        <w:rPr>
          <w:rFonts w:ascii="Garamond" w:hAnsi="Garamond"/>
          <w:sz w:val="24"/>
          <w:szCs w:val="24"/>
        </w:rPr>
        <w:t>Fadhlurrahman</w:t>
      </w:r>
      <w:proofErr w:type="spellEnd"/>
      <w:r w:rsidRPr="00CE2E19">
        <w:rPr>
          <w:rFonts w:ascii="Garamond" w:hAnsi="Garamond"/>
          <w:sz w:val="24"/>
          <w:szCs w:val="24"/>
        </w:rPr>
        <w:t xml:space="preserve">, F., &amp; </w:t>
      </w:r>
      <w:proofErr w:type="spellStart"/>
      <w:r w:rsidRPr="00CE2E19">
        <w:rPr>
          <w:rFonts w:ascii="Garamond" w:hAnsi="Garamond"/>
          <w:sz w:val="24"/>
          <w:szCs w:val="24"/>
        </w:rPr>
        <w:t>Nuryana</w:t>
      </w:r>
      <w:proofErr w:type="spellEnd"/>
      <w:r w:rsidRPr="00CE2E19">
        <w:rPr>
          <w:rFonts w:ascii="Garamond" w:hAnsi="Garamond"/>
          <w:sz w:val="24"/>
          <w:szCs w:val="24"/>
        </w:rPr>
        <w:t xml:space="preserve">, Z. (2022). Concept and implementation of Islamic character education in educational institutions. Al-Misbah: </w:t>
      </w:r>
      <w:proofErr w:type="spellStart"/>
      <w:r w:rsidRPr="00CE2E19">
        <w:rPr>
          <w:rFonts w:ascii="Garamond" w:hAnsi="Garamond"/>
          <w:sz w:val="24"/>
          <w:szCs w:val="24"/>
        </w:rPr>
        <w:t>Jurnal</w:t>
      </w:r>
      <w:proofErr w:type="spellEnd"/>
      <w:r w:rsidRPr="00CE2E19">
        <w:rPr>
          <w:rFonts w:ascii="Garamond" w:hAnsi="Garamond"/>
          <w:sz w:val="24"/>
          <w:szCs w:val="24"/>
        </w:rPr>
        <w:t xml:space="preserve"> Islamic Studies, 10(2), 71–81. </w:t>
      </w:r>
      <w:hyperlink r:id="rId26" w:history="1">
        <w:r w:rsidRPr="00CE2E19">
          <w:rPr>
            <w:rStyle w:val="Hyperlink"/>
            <w:rFonts w:ascii="Garamond" w:hAnsi="Garamond"/>
            <w:sz w:val="24"/>
            <w:szCs w:val="24"/>
          </w:rPr>
          <w:t>https://doi.org/10.26555/almisbah.v10i2.6734</w:t>
        </w:r>
      </w:hyperlink>
    </w:p>
    <w:p w14:paraId="41948A50"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Kurniawati</w:t>
      </w:r>
      <w:proofErr w:type="spellEnd"/>
      <w:r w:rsidRPr="00CE2E19">
        <w:rPr>
          <w:rFonts w:ascii="Garamond" w:hAnsi="Garamond"/>
          <w:sz w:val="24"/>
          <w:szCs w:val="24"/>
        </w:rPr>
        <w:t xml:space="preserve">, I., </w:t>
      </w:r>
      <w:proofErr w:type="spellStart"/>
      <w:r w:rsidRPr="00CE2E19">
        <w:rPr>
          <w:rFonts w:ascii="Garamond" w:hAnsi="Garamond"/>
          <w:sz w:val="24"/>
          <w:szCs w:val="24"/>
        </w:rPr>
        <w:t>Silvya</w:t>
      </w:r>
      <w:proofErr w:type="spellEnd"/>
      <w:r w:rsidRPr="00CE2E19">
        <w:rPr>
          <w:rFonts w:ascii="Garamond" w:hAnsi="Garamond"/>
          <w:sz w:val="24"/>
          <w:szCs w:val="24"/>
        </w:rPr>
        <w:t xml:space="preserve">, W., &amp; Sari, H. P. (2023). </w:t>
      </w:r>
      <w:proofErr w:type="spellStart"/>
      <w:r w:rsidRPr="00CE2E19">
        <w:rPr>
          <w:rFonts w:ascii="Garamond" w:hAnsi="Garamond"/>
          <w:sz w:val="24"/>
          <w:szCs w:val="24"/>
        </w:rPr>
        <w:t>Pemikiran</w:t>
      </w:r>
      <w:proofErr w:type="spellEnd"/>
      <w:r w:rsidRPr="00CE2E19">
        <w:rPr>
          <w:rFonts w:ascii="Garamond" w:hAnsi="Garamond"/>
          <w:sz w:val="24"/>
          <w:szCs w:val="24"/>
        </w:rPr>
        <w:t xml:space="preserve"> Al-Ghazali </w:t>
      </w:r>
      <w:proofErr w:type="spellStart"/>
      <w:r w:rsidRPr="00CE2E19">
        <w:rPr>
          <w:rFonts w:ascii="Garamond" w:hAnsi="Garamond"/>
          <w:sz w:val="24"/>
          <w:szCs w:val="24"/>
        </w:rPr>
        <w:t>tentang</w:t>
      </w:r>
      <w:proofErr w:type="spellEnd"/>
      <w:r w:rsidRPr="00CE2E19">
        <w:rPr>
          <w:rFonts w:ascii="Garamond" w:hAnsi="Garamond"/>
          <w:sz w:val="24"/>
          <w:szCs w:val="24"/>
        </w:rPr>
        <w:t xml:space="preserve"> </w:t>
      </w:r>
      <w:proofErr w:type="spellStart"/>
      <w:r w:rsidRPr="00CE2E19">
        <w:rPr>
          <w:rFonts w:ascii="Garamond" w:hAnsi="Garamond"/>
          <w:sz w:val="24"/>
          <w:szCs w:val="24"/>
        </w:rPr>
        <w:t>filsafat</w:t>
      </w:r>
      <w:proofErr w:type="spellEnd"/>
      <w:r w:rsidRPr="00CE2E19">
        <w:rPr>
          <w:rFonts w:ascii="Garamond" w:hAnsi="Garamond"/>
          <w:sz w:val="24"/>
          <w:szCs w:val="24"/>
        </w:rPr>
        <w:t xml:space="preserve"> </w:t>
      </w:r>
      <w:proofErr w:type="spellStart"/>
      <w:r w:rsidRPr="00CE2E19">
        <w:rPr>
          <w:rFonts w:ascii="Garamond" w:hAnsi="Garamond"/>
          <w:sz w:val="24"/>
          <w:szCs w:val="24"/>
        </w:rPr>
        <w:t>pendidikan</w:t>
      </w:r>
      <w:proofErr w:type="spellEnd"/>
      <w:r w:rsidRPr="00CE2E19">
        <w:rPr>
          <w:rFonts w:ascii="Garamond" w:hAnsi="Garamond"/>
          <w:sz w:val="24"/>
          <w:szCs w:val="24"/>
        </w:rPr>
        <w:t xml:space="preserve"> Islam dan </w:t>
      </w:r>
      <w:proofErr w:type="spellStart"/>
      <w:r w:rsidRPr="00CE2E19">
        <w:rPr>
          <w:rFonts w:ascii="Garamond" w:hAnsi="Garamond"/>
          <w:sz w:val="24"/>
          <w:szCs w:val="24"/>
        </w:rPr>
        <w:t>pembentukan</w:t>
      </w:r>
      <w:proofErr w:type="spellEnd"/>
      <w:r w:rsidRPr="00CE2E19">
        <w:rPr>
          <w:rFonts w:ascii="Garamond" w:hAnsi="Garamond"/>
          <w:sz w:val="24"/>
          <w:szCs w:val="24"/>
        </w:rPr>
        <w:t xml:space="preserve"> </w:t>
      </w:r>
      <w:proofErr w:type="spellStart"/>
      <w:r w:rsidRPr="00CE2E19">
        <w:rPr>
          <w:rFonts w:ascii="Garamond" w:hAnsi="Garamond"/>
          <w:sz w:val="24"/>
          <w:szCs w:val="24"/>
        </w:rPr>
        <w:t>karakter</w:t>
      </w:r>
      <w:proofErr w:type="spellEnd"/>
      <w:r w:rsidRPr="00CE2E19">
        <w:rPr>
          <w:rFonts w:ascii="Garamond" w:hAnsi="Garamond"/>
          <w:sz w:val="24"/>
          <w:szCs w:val="24"/>
        </w:rPr>
        <w:t xml:space="preserve">: </w:t>
      </w:r>
      <w:proofErr w:type="spellStart"/>
      <w:r w:rsidRPr="00CE2E19">
        <w:rPr>
          <w:rFonts w:ascii="Garamond" w:hAnsi="Garamond"/>
          <w:sz w:val="24"/>
          <w:szCs w:val="24"/>
        </w:rPr>
        <w:t>Relevansinya</w:t>
      </w:r>
      <w:proofErr w:type="spellEnd"/>
      <w:r w:rsidRPr="00CE2E19">
        <w:rPr>
          <w:rFonts w:ascii="Garamond" w:hAnsi="Garamond"/>
          <w:sz w:val="24"/>
          <w:szCs w:val="24"/>
        </w:rPr>
        <w:t xml:space="preserve"> </w:t>
      </w:r>
      <w:proofErr w:type="spellStart"/>
      <w:r w:rsidRPr="00CE2E19">
        <w:rPr>
          <w:rFonts w:ascii="Garamond" w:hAnsi="Garamond"/>
          <w:sz w:val="24"/>
          <w:szCs w:val="24"/>
        </w:rPr>
        <w:t>untuk</w:t>
      </w:r>
      <w:proofErr w:type="spellEnd"/>
      <w:r w:rsidRPr="00CE2E19">
        <w:rPr>
          <w:rFonts w:ascii="Garamond" w:hAnsi="Garamond"/>
          <w:sz w:val="24"/>
          <w:szCs w:val="24"/>
        </w:rPr>
        <w:t xml:space="preserve"> </w:t>
      </w:r>
      <w:proofErr w:type="spellStart"/>
      <w:r w:rsidRPr="00CE2E19">
        <w:rPr>
          <w:rFonts w:ascii="Garamond" w:hAnsi="Garamond"/>
          <w:sz w:val="24"/>
          <w:szCs w:val="24"/>
        </w:rPr>
        <w:t>masyarakat</w:t>
      </w:r>
      <w:proofErr w:type="spellEnd"/>
      <w:r w:rsidRPr="00CE2E19">
        <w:rPr>
          <w:rFonts w:ascii="Garamond" w:hAnsi="Garamond"/>
          <w:sz w:val="24"/>
          <w:szCs w:val="24"/>
        </w:rPr>
        <w:t xml:space="preserve">. </w:t>
      </w:r>
      <w:proofErr w:type="spellStart"/>
      <w:r w:rsidRPr="00CE2E19">
        <w:rPr>
          <w:rFonts w:ascii="Garamond" w:hAnsi="Garamond"/>
          <w:sz w:val="24"/>
          <w:szCs w:val="24"/>
        </w:rPr>
        <w:t>Tawshiyah</w:t>
      </w:r>
      <w:proofErr w:type="spellEnd"/>
      <w:r w:rsidRPr="00CE2E19">
        <w:rPr>
          <w:rFonts w:ascii="Garamond" w:hAnsi="Garamond"/>
          <w:sz w:val="24"/>
          <w:szCs w:val="24"/>
        </w:rPr>
        <w:t xml:space="preserve">: </w:t>
      </w:r>
      <w:proofErr w:type="spellStart"/>
      <w:r w:rsidRPr="00CE2E19">
        <w:rPr>
          <w:rFonts w:ascii="Garamond" w:hAnsi="Garamond"/>
          <w:sz w:val="24"/>
          <w:szCs w:val="24"/>
        </w:rPr>
        <w:t>Jurnal</w:t>
      </w:r>
      <w:proofErr w:type="spellEnd"/>
      <w:r w:rsidRPr="00CE2E19">
        <w:rPr>
          <w:rFonts w:ascii="Garamond" w:hAnsi="Garamond"/>
          <w:sz w:val="24"/>
          <w:szCs w:val="24"/>
        </w:rPr>
        <w:t xml:space="preserve"> </w:t>
      </w:r>
      <w:proofErr w:type="spellStart"/>
      <w:r w:rsidRPr="00CE2E19">
        <w:rPr>
          <w:rFonts w:ascii="Garamond" w:hAnsi="Garamond"/>
          <w:sz w:val="24"/>
          <w:szCs w:val="24"/>
        </w:rPr>
        <w:t>Sosial</w:t>
      </w:r>
      <w:proofErr w:type="spellEnd"/>
      <w:r w:rsidRPr="00CE2E19">
        <w:rPr>
          <w:rFonts w:ascii="Garamond" w:hAnsi="Garamond"/>
          <w:sz w:val="24"/>
          <w:szCs w:val="24"/>
        </w:rPr>
        <w:t xml:space="preserve"> </w:t>
      </w:r>
      <w:proofErr w:type="spellStart"/>
      <w:r w:rsidRPr="00CE2E19">
        <w:rPr>
          <w:rFonts w:ascii="Garamond" w:hAnsi="Garamond"/>
          <w:sz w:val="24"/>
          <w:szCs w:val="24"/>
        </w:rPr>
        <w:t>Keagamaan</w:t>
      </w:r>
      <w:proofErr w:type="spellEnd"/>
      <w:r w:rsidRPr="00CE2E19">
        <w:rPr>
          <w:rFonts w:ascii="Garamond" w:hAnsi="Garamond"/>
          <w:sz w:val="24"/>
          <w:szCs w:val="24"/>
        </w:rPr>
        <w:t xml:space="preserve"> dan Pendidikan Islam, 18(2), 57–72. </w:t>
      </w:r>
      <w:hyperlink r:id="rId27" w:history="1">
        <w:r w:rsidRPr="00CE2E19">
          <w:rPr>
            <w:rStyle w:val="Hyperlink"/>
            <w:rFonts w:ascii="Garamond" w:hAnsi="Garamond"/>
            <w:sz w:val="24"/>
            <w:szCs w:val="24"/>
          </w:rPr>
          <w:t>https://doi.org/10.32923/taw.v18i2.4014</w:t>
        </w:r>
      </w:hyperlink>
    </w:p>
    <w:p w14:paraId="7A8B00D7"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Mahdany</w:t>
      </w:r>
      <w:proofErr w:type="spellEnd"/>
      <w:r w:rsidRPr="00CE2E19">
        <w:rPr>
          <w:rFonts w:ascii="Garamond" w:hAnsi="Garamond"/>
          <w:sz w:val="24"/>
          <w:szCs w:val="24"/>
        </w:rPr>
        <w:t xml:space="preserve">, D., </w:t>
      </w:r>
      <w:proofErr w:type="spellStart"/>
      <w:r w:rsidRPr="00CE2E19">
        <w:rPr>
          <w:rFonts w:ascii="Garamond" w:hAnsi="Garamond"/>
          <w:sz w:val="24"/>
          <w:szCs w:val="24"/>
        </w:rPr>
        <w:t>Rifani</w:t>
      </w:r>
      <w:proofErr w:type="spellEnd"/>
      <w:r w:rsidRPr="00CE2E19">
        <w:rPr>
          <w:rFonts w:ascii="Garamond" w:hAnsi="Garamond"/>
          <w:sz w:val="24"/>
          <w:szCs w:val="24"/>
        </w:rPr>
        <w:t xml:space="preserve">, W., </w:t>
      </w:r>
      <w:proofErr w:type="spellStart"/>
      <w:r w:rsidRPr="00CE2E19">
        <w:rPr>
          <w:rFonts w:ascii="Garamond" w:hAnsi="Garamond"/>
          <w:sz w:val="24"/>
          <w:szCs w:val="24"/>
        </w:rPr>
        <w:t>Hidayat</w:t>
      </w:r>
      <w:proofErr w:type="spellEnd"/>
      <w:r w:rsidRPr="00CE2E19">
        <w:rPr>
          <w:rFonts w:ascii="Garamond" w:hAnsi="Garamond"/>
          <w:sz w:val="24"/>
          <w:szCs w:val="24"/>
        </w:rPr>
        <w:t>, T., Noor, M., &amp; DP, U. (2025). The influence of Al-</w:t>
      </w:r>
      <w:proofErr w:type="spellStart"/>
      <w:r w:rsidRPr="00CE2E19">
        <w:rPr>
          <w:rFonts w:ascii="Garamond" w:hAnsi="Garamond"/>
          <w:sz w:val="24"/>
          <w:szCs w:val="24"/>
        </w:rPr>
        <w:t>Ghazzali's</w:t>
      </w:r>
      <w:proofErr w:type="spellEnd"/>
      <w:r w:rsidRPr="00CE2E19">
        <w:rPr>
          <w:rFonts w:ascii="Garamond" w:hAnsi="Garamond"/>
          <w:sz w:val="24"/>
          <w:szCs w:val="24"/>
        </w:rPr>
        <w:t xml:space="preserve"> rationality in Islamic education. SYAMIL: Journal of Islamic Education, 13(2), 223–232. </w:t>
      </w:r>
      <w:hyperlink r:id="rId28" w:history="1">
        <w:r w:rsidRPr="00CE2E19">
          <w:rPr>
            <w:rStyle w:val="Hyperlink"/>
            <w:rFonts w:ascii="Garamond" w:hAnsi="Garamond"/>
            <w:sz w:val="24"/>
            <w:szCs w:val="24"/>
          </w:rPr>
          <w:t>https://doi.org/10.21093/sy.v13i2.11220</w:t>
        </w:r>
      </w:hyperlink>
    </w:p>
    <w:p w14:paraId="41AC39E2"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Martasila</w:t>
      </w:r>
      <w:proofErr w:type="spellEnd"/>
      <w:r w:rsidRPr="00CE2E19">
        <w:rPr>
          <w:rFonts w:ascii="Garamond" w:hAnsi="Garamond"/>
          <w:sz w:val="24"/>
          <w:szCs w:val="24"/>
        </w:rPr>
        <w:t xml:space="preserve">, D. S., &amp; Abidin, Z. (2025). The concept of Islamic education according to Imam Ghazali in forming the character of Generation Z in the digital era. </w:t>
      </w:r>
      <w:proofErr w:type="spellStart"/>
      <w:r w:rsidRPr="00CE2E19">
        <w:rPr>
          <w:rFonts w:ascii="Garamond" w:hAnsi="Garamond"/>
          <w:sz w:val="24"/>
          <w:szCs w:val="24"/>
        </w:rPr>
        <w:t>EduLine</w:t>
      </w:r>
      <w:proofErr w:type="spellEnd"/>
      <w:r w:rsidRPr="00CE2E19">
        <w:rPr>
          <w:rFonts w:ascii="Garamond" w:hAnsi="Garamond"/>
          <w:sz w:val="24"/>
          <w:szCs w:val="24"/>
        </w:rPr>
        <w:t xml:space="preserve">: Journal of Education and Learning Innovation, 5(1), 178–187. </w:t>
      </w:r>
      <w:hyperlink r:id="rId29" w:history="1">
        <w:r w:rsidRPr="00CE2E19">
          <w:rPr>
            <w:rStyle w:val="Hyperlink"/>
            <w:rFonts w:ascii="Garamond" w:hAnsi="Garamond"/>
            <w:sz w:val="24"/>
            <w:szCs w:val="24"/>
          </w:rPr>
          <w:t>https://doi.org/10.35877/454RI.eduline3597</w:t>
        </w:r>
      </w:hyperlink>
    </w:p>
    <w:p w14:paraId="07355DA9"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Maslani</w:t>
      </w:r>
      <w:proofErr w:type="spellEnd"/>
      <w:r w:rsidRPr="00CE2E19">
        <w:rPr>
          <w:rFonts w:ascii="Garamond" w:hAnsi="Garamond"/>
          <w:sz w:val="24"/>
          <w:szCs w:val="24"/>
        </w:rPr>
        <w:t xml:space="preserve">, M., </w:t>
      </w:r>
      <w:proofErr w:type="spellStart"/>
      <w:r w:rsidRPr="00CE2E19">
        <w:rPr>
          <w:rFonts w:ascii="Garamond" w:hAnsi="Garamond"/>
          <w:sz w:val="24"/>
          <w:szCs w:val="24"/>
        </w:rPr>
        <w:t>Basyari</w:t>
      </w:r>
      <w:proofErr w:type="spellEnd"/>
      <w:r w:rsidRPr="00CE2E19">
        <w:rPr>
          <w:rFonts w:ascii="Garamond" w:hAnsi="Garamond"/>
          <w:sz w:val="24"/>
          <w:szCs w:val="24"/>
        </w:rPr>
        <w:t xml:space="preserve">, Z. A. S., </w:t>
      </w:r>
      <w:proofErr w:type="spellStart"/>
      <w:r w:rsidRPr="00CE2E19">
        <w:rPr>
          <w:rFonts w:ascii="Garamond" w:hAnsi="Garamond"/>
          <w:sz w:val="24"/>
          <w:szCs w:val="24"/>
        </w:rPr>
        <w:t>Rohmatulloh</w:t>
      </w:r>
      <w:proofErr w:type="spellEnd"/>
      <w:r w:rsidRPr="00CE2E19">
        <w:rPr>
          <w:rFonts w:ascii="Garamond" w:hAnsi="Garamond"/>
          <w:sz w:val="24"/>
          <w:szCs w:val="24"/>
        </w:rPr>
        <w:t xml:space="preserve">, R., &amp; </w:t>
      </w:r>
      <w:proofErr w:type="spellStart"/>
      <w:r w:rsidRPr="00CE2E19">
        <w:rPr>
          <w:rFonts w:ascii="Garamond" w:hAnsi="Garamond"/>
          <w:sz w:val="24"/>
          <w:szCs w:val="24"/>
        </w:rPr>
        <w:t>Nuroh</w:t>
      </w:r>
      <w:proofErr w:type="spellEnd"/>
      <w:r w:rsidRPr="00CE2E19">
        <w:rPr>
          <w:rFonts w:ascii="Garamond" w:hAnsi="Garamond"/>
          <w:sz w:val="24"/>
          <w:szCs w:val="24"/>
        </w:rPr>
        <w:t xml:space="preserve">, L. (2023). Implementation of character education in Islamic education. </w:t>
      </w:r>
      <w:proofErr w:type="spellStart"/>
      <w:r w:rsidRPr="00CE2E19">
        <w:rPr>
          <w:rFonts w:ascii="Garamond" w:hAnsi="Garamond"/>
          <w:sz w:val="24"/>
          <w:szCs w:val="24"/>
        </w:rPr>
        <w:t>Jurnal</w:t>
      </w:r>
      <w:proofErr w:type="spellEnd"/>
      <w:r w:rsidRPr="00CE2E19">
        <w:rPr>
          <w:rFonts w:ascii="Garamond" w:hAnsi="Garamond"/>
          <w:sz w:val="24"/>
          <w:szCs w:val="24"/>
        </w:rPr>
        <w:t xml:space="preserve"> EDUCATIO: </w:t>
      </w:r>
      <w:proofErr w:type="spellStart"/>
      <w:r w:rsidRPr="00CE2E19">
        <w:rPr>
          <w:rFonts w:ascii="Garamond" w:hAnsi="Garamond"/>
          <w:sz w:val="24"/>
          <w:szCs w:val="24"/>
        </w:rPr>
        <w:t>Jurnal</w:t>
      </w:r>
      <w:proofErr w:type="spellEnd"/>
      <w:r w:rsidRPr="00CE2E19">
        <w:rPr>
          <w:rFonts w:ascii="Garamond" w:hAnsi="Garamond"/>
          <w:sz w:val="24"/>
          <w:szCs w:val="24"/>
        </w:rPr>
        <w:t xml:space="preserve"> Pendidikan Indonesia, 9(1), 521–530. </w:t>
      </w:r>
      <w:hyperlink r:id="rId30" w:history="1">
        <w:r w:rsidRPr="00CE2E19">
          <w:rPr>
            <w:rStyle w:val="Hyperlink"/>
            <w:rFonts w:ascii="Garamond" w:hAnsi="Garamond"/>
            <w:sz w:val="24"/>
            <w:szCs w:val="24"/>
          </w:rPr>
          <w:t>https://doi.org/10.29210/1202322884</w:t>
        </w:r>
      </w:hyperlink>
    </w:p>
    <w:p w14:paraId="2556C59B"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Maulida</w:t>
      </w:r>
      <w:proofErr w:type="spellEnd"/>
      <w:r w:rsidRPr="00CE2E19">
        <w:rPr>
          <w:rFonts w:ascii="Garamond" w:hAnsi="Garamond"/>
          <w:sz w:val="24"/>
          <w:szCs w:val="24"/>
        </w:rPr>
        <w:t xml:space="preserve">, I., </w:t>
      </w:r>
      <w:proofErr w:type="spellStart"/>
      <w:r w:rsidRPr="00CE2E19">
        <w:rPr>
          <w:rFonts w:ascii="Garamond" w:hAnsi="Garamond"/>
          <w:sz w:val="24"/>
          <w:szCs w:val="24"/>
        </w:rPr>
        <w:t>Prasetiya</w:t>
      </w:r>
      <w:proofErr w:type="spellEnd"/>
      <w:r w:rsidRPr="00CE2E19">
        <w:rPr>
          <w:rFonts w:ascii="Garamond" w:hAnsi="Garamond"/>
          <w:sz w:val="24"/>
          <w:szCs w:val="24"/>
        </w:rPr>
        <w:t xml:space="preserve">, B., &amp; </w:t>
      </w:r>
      <w:proofErr w:type="spellStart"/>
      <w:r w:rsidRPr="00CE2E19">
        <w:rPr>
          <w:rFonts w:ascii="Garamond" w:hAnsi="Garamond"/>
          <w:sz w:val="24"/>
          <w:szCs w:val="24"/>
        </w:rPr>
        <w:t>Ghanib</w:t>
      </w:r>
      <w:proofErr w:type="spellEnd"/>
      <w:r w:rsidRPr="00CE2E19">
        <w:rPr>
          <w:rFonts w:ascii="Garamond" w:hAnsi="Garamond"/>
          <w:sz w:val="24"/>
          <w:szCs w:val="24"/>
        </w:rPr>
        <w:t xml:space="preserve">, M. F. A. (2025). Integrating Islamic moral values into holistic education: A systematic character development model in Indonesian junior high schools. Journal of Islamic Education Research, 6(4), 443–458. </w:t>
      </w:r>
      <w:hyperlink r:id="rId31" w:history="1">
        <w:r w:rsidRPr="00CE2E19">
          <w:rPr>
            <w:rStyle w:val="Hyperlink"/>
            <w:rFonts w:ascii="Garamond" w:hAnsi="Garamond"/>
            <w:sz w:val="24"/>
            <w:szCs w:val="24"/>
          </w:rPr>
          <w:t>https://doi.org/10.35719/jier.v6i4.525</w:t>
        </w:r>
      </w:hyperlink>
    </w:p>
    <w:p w14:paraId="0CE7A168"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Mawardi</w:t>
      </w:r>
      <w:proofErr w:type="spellEnd"/>
      <w:r w:rsidRPr="00CE2E19">
        <w:rPr>
          <w:rFonts w:ascii="Garamond" w:hAnsi="Garamond"/>
          <w:sz w:val="24"/>
          <w:szCs w:val="24"/>
        </w:rPr>
        <w:t xml:space="preserve">, I., </w:t>
      </w:r>
      <w:proofErr w:type="spellStart"/>
      <w:r w:rsidRPr="00CE2E19">
        <w:rPr>
          <w:rFonts w:ascii="Garamond" w:hAnsi="Garamond"/>
          <w:sz w:val="24"/>
          <w:szCs w:val="24"/>
        </w:rPr>
        <w:t>Raharjo</w:t>
      </w:r>
      <w:proofErr w:type="spellEnd"/>
      <w:r w:rsidRPr="00CE2E19">
        <w:rPr>
          <w:rFonts w:ascii="Garamond" w:hAnsi="Garamond"/>
          <w:sz w:val="24"/>
          <w:szCs w:val="24"/>
        </w:rPr>
        <w:t xml:space="preserve">, A. B., &amp; </w:t>
      </w:r>
      <w:proofErr w:type="spellStart"/>
      <w:r w:rsidRPr="00CE2E19">
        <w:rPr>
          <w:rFonts w:ascii="Garamond" w:hAnsi="Garamond"/>
          <w:sz w:val="24"/>
          <w:szCs w:val="24"/>
        </w:rPr>
        <w:t>Fahm</w:t>
      </w:r>
      <w:proofErr w:type="spellEnd"/>
      <w:r w:rsidRPr="00CE2E19">
        <w:rPr>
          <w:rFonts w:ascii="Garamond" w:hAnsi="Garamond"/>
          <w:sz w:val="24"/>
          <w:szCs w:val="24"/>
        </w:rPr>
        <w:t xml:space="preserve">, A. G. O. (2021). </w:t>
      </w:r>
      <w:proofErr w:type="gramStart"/>
      <w:r w:rsidRPr="00CE2E19">
        <w:rPr>
          <w:rFonts w:ascii="Garamond" w:hAnsi="Garamond"/>
          <w:sz w:val="24"/>
          <w:szCs w:val="24"/>
        </w:rPr>
        <w:t>Teachers</w:t>
      </w:r>
      <w:proofErr w:type="gramEnd"/>
      <w:r w:rsidRPr="00CE2E19">
        <w:rPr>
          <w:rFonts w:ascii="Garamond" w:hAnsi="Garamond"/>
          <w:sz w:val="24"/>
          <w:szCs w:val="24"/>
        </w:rPr>
        <w:t xml:space="preserve"> strategies in strengthening character education based on Islamic values in online learning during the Covid-19 pandemic. </w:t>
      </w:r>
      <w:proofErr w:type="spellStart"/>
      <w:r w:rsidRPr="00CE2E19">
        <w:rPr>
          <w:rFonts w:ascii="Garamond" w:hAnsi="Garamond"/>
          <w:sz w:val="24"/>
          <w:szCs w:val="24"/>
        </w:rPr>
        <w:t>Tarbiyatuna</w:t>
      </w:r>
      <w:proofErr w:type="spellEnd"/>
      <w:r w:rsidRPr="00CE2E19">
        <w:rPr>
          <w:rFonts w:ascii="Garamond" w:hAnsi="Garamond"/>
          <w:sz w:val="24"/>
          <w:szCs w:val="24"/>
        </w:rPr>
        <w:t xml:space="preserve">, 12(2), 87–97. </w:t>
      </w:r>
      <w:hyperlink r:id="rId32" w:history="1">
        <w:r w:rsidRPr="00CE2E19">
          <w:rPr>
            <w:rStyle w:val="Hyperlink"/>
            <w:rFonts w:ascii="Garamond" w:hAnsi="Garamond"/>
            <w:sz w:val="24"/>
            <w:szCs w:val="24"/>
          </w:rPr>
          <w:t>https://doi.org/10.31603/tarbiyatuna.v12i2.5991</w:t>
        </w:r>
      </w:hyperlink>
    </w:p>
    <w:p w14:paraId="2D27BAF2"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Moleong</w:t>
      </w:r>
      <w:proofErr w:type="spellEnd"/>
      <w:r w:rsidRPr="00CE2E19">
        <w:rPr>
          <w:rFonts w:ascii="Garamond" w:hAnsi="Garamond"/>
          <w:sz w:val="24"/>
          <w:szCs w:val="24"/>
        </w:rPr>
        <w:t xml:space="preserve">, L. J. (2022). </w:t>
      </w:r>
      <w:proofErr w:type="spellStart"/>
      <w:r w:rsidRPr="00CE2E19">
        <w:rPr>
          <w:rFonts w:ascii="Garamond" w:hAnsi="Garamond"/>
          <w:sz w:val="24"/>
          <w:szCs w:val="24"/>
        </w:rPr>
        <w:t>Metodologi</w:t>
      </w:r>
      <w:proofErr w:type="spellEnd"/>
      <w:r w:rsidRPr="00CE2E19">
        <w:rPr>
          <w:rFonts w:ascii="Garamond" w:hAnsi="Garamond"/>
          <w:sz w:val="24"/>
          <w:szCs w:val="24"/>
        </w:rPr>
        <w:t xml:space="preserve"> </w:t>
      </w:r>
      <w:proofErr w:type="spellStart"/>
      <w:r w:rsidRPr="00CE2E19">
        <w:rPr>
          <w:rFonts w:ascii="Garamond" w:hAnsi="Garamond"/>
          <w:sz w:val="24"/>
          <w:szCs w:val="24"/>
        </w:rPr>
        <w:t>penelitian</w:t>
      </w:r>
      <w:proofErr w:type="spellEnd"/>
      <w:r w:rsidRPr="00CE2E19">
        <w:rPr>
          <w:rFonts w:ascii="Garamond" w:hAnsi="Garamond"/>
          <w:sz w:val="24"/>
          <w:szCs w:val="24"/>
        </w:rPr>
        <w:t xml:space="preserve"> </w:t>
      </w:r>
      <w:proofErr w:type="spellStart"/>
      <w:r w:rsidRPr="00CE2E19">
        <w:rPr>
          <w:rFonts w:ascii="Garamond" w:hAnsi="Garamond"/>
          <w:sz w:val="24"/>
          <w:szCs w:val="24"/>
        </w:rPr>
        <w:t>kualitatif</w:t>
      </w:r>
      <w:proofErr w:type="spellEnd"/>
      <w:r w:rsidRPr="00CE2E19">
        <w:rPr>
          <w:rFonts w:ascii="Garamond" w:hAnsi="Garamond"/>
          <w:sz w:val="24"/>
          <w:szCs w:val="24"/>
        </w:rPr>
        <w:t xml:space="preserve"> (</w:t>
      </w:r>
      <w:proofErr w:type="spellStart"/>
      <w:r w:rsidRPr="00CE2E19">
        <w:rPr>
          <w:rFonts w:ascii="Garamond" w:hAnsi="Garamond"/>
          <w:sz w:val="24"/>
          <w:szCs w:val="24"/>
        </w:rPr>
        <w:t>Edisi</w:t>
      </w:r>
      <w:proofErr w:type="spellEnd"/>
      <w:r w:rsidRPr="00CE2E19">
        <w:rPr>
          <w:rFonts w:ascii="Garamond" w:hAnsi="Garamond"/>
          <w:sz w:val="24"/>
          <w:szCs w:val="24"/>
        </w:rPr>
        <w:t xml:space="preserve"> </w:t>
      </w:r>
      <w:proofErr w:type="spellStart"/>
      <w:r w:rsidRPr="00CE2E19">
        <w:rPr>
          <w:rFonts w:ascii="Garamond" w:hAnsi="Garamond"/>
          <w:sz w:val="24"/>
          <w:szCs w:val="24"/>
        </w:rPr>
        <w:t>revisi</w:t>
      </w:r>
      <w:proofErr w:type="spellEnd"/>
      <w:r w:rsidRPr="00CE2E19">
        <w:rPr>
          <w:rFonts w:ascii="Garamond" w:hAnsi="Garamond"/>
          <w:sz w:val="24"/>
          <w:szCs w:val="24"/>
        </w:rPr>
        <w:t xml:space="preserve">). </w:t>
      </w:r>
      <w:proofErr w:type="spellStart"/>
      <w:r w:rsidRPr="00CE2E19">
        <w:rPr>
          <w:rFonts w:ascii="Garamond" w:hAnsi="Garamond"/>
          <w:sz w:val="24"/>
          <w:szCs w:val="24"/>
        </w:rPr>
        <w:t>Remaja</w:t>
      </w:r>
      <w:proofErr w:type="spellEnd"/>
      <w:r w:rsidRPr="00CE2E19">
        <w:rPr>
          <w:rFonts w:ascii="Garamond" w:hAnsi="Garamond"/>
          <w:sz w:val="24"/>
          <w:szCs w:val="24"/>
        </w:rPr>
        <w:t xml:space="preserve"> </w:t>
      </w:r>
      <w:proofErr w:type="spellStart"/>
      <w:r w:rsidRPr="00CE2E19">
        <w:rPr>
          <w:rFonts w:ascii="Garamond" w:hAnsi="Garamond"/>
          <w:sz w:val="24"/>
          <w:szCs w:val="24"/>
        </w:rPr>
        <w:t>Rosdakarya</w:t>
      </w:r>
      <w:proofErr w:type="spellEnd"/>
      <w:r w:rsidRPr="00CE2E19">
        <w:rPr>
          <w:rFonts w:ascii="Garamond" w:hAnsi="Garamond"/>
          <w:sz w:val="24"/>
          <w:szCs w:val="24"/>
        </w:rPr>
        <w:t>.</w:t>
      </w:r>
    </w:p>
    <w:p w14:paraId="683B972D"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Muhsi</w:t>
      </w:r>
      <w:proofErr w:type="spellEnd"/>
      <w:r w:rsidRPr="00CE2E19">
        <w:rPr>
          <w:rFonts w:ascii="Garamond" w:hAnsi="Garamond"/>
          <w:sz w:val="24"/>
          <w:szCs w:val="24"/>
        </w:rPr>
        <w:t xml:space="preserve">, I. A., &amp; </w:t>
      </w:r>
      <w:proofErr w:type="spellStart"/>
      <w:r w:rsidRPr="00CE2E19">
        <w:rPr>
          <w:rFonts w:ascii="Garamond" w:hAnsi="Garamond"/>
          <w:sz w:val="24"/>
          <w:szCs w:val="24"/>
        </w:rPr>
        <w:t>Nadlif</w:t>
      </w:r>
      <w:proofErr w:type="spellEnd"/>
      <w:r w:rsidRPr="00CE2E19">
        <w:rPr>
          <w:rFonts w:ascii="Garamond" w:hAnsi="Garamond"/>
          <w:sz w:val="24"/>
          <w:szCs w:val="24"/>
        </w:rPr>
        <w:t xml:space="preserve">, A. (2021). Imam Al-Ghazali's perspective moral education. Academia Open, 4. </w:t>
      </w:r>
      <w:hyperlink r:id="rId33" w:history="1">
        <w:r w:rsidRPr="00CE2E19">
          <w:rPr>
            <w:rStyle w:val="Hyperlink"/>
            <w:rFonts w:ascii="Garamond" w:hAnsi="Garamond"/>
            <w:sz w:val="24"/>
            <w:szCs w:val="24"/>
          </w:rPr>
          <w:t>https://doi.org/10.21070/acopen.4.2021.2717</w:t>
        </w:r>
      </w:hyperlink>
    </w:p>
    <w:p w14:paraId="51237B34"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Mukhlis</w:t>
      </w:r>
      <w:proofErr w:type="spellEnd"/>
      <w:r w:rsidRPr="00CE2E19">
        <w:rPr>
          <w:rFonts w:ascii="Garamond" w:hAnsi="Garamond"/>
          <w:sz w:val="24"/>
          <w:szCs w:val="24"/>
        </w:rPr>
        <w:t xml:space="preserve">, M., </w:t>
      </w:r>
      <w:proofErr w:type="spellStart"/>
      <w:r w:rsidRPr="00CE2E19">
        <w:rPr>
          <w:rFonts w:ascii="Garamond" w:hAnsi="Garamond"/>
          <w:sz w:val="24"/>
          <w:szCs w:val="24"/>
        </w:rPr>
        <w:t>Rasyidi</w:t>
      </w:r>
      <w:proofErr w:type="spellEnd"/>
      <w:r w:rsidRPr="00CE2E19">
        <w:rPr>
          <w:rFonts w:ascii="Garamond" w:hAnsi="Garamond"/>
          <w:sz w:val="24"/>
          <w:szCs w:val="24"/>
        </w:rPr>
        <w:t xml:space="preserve">, A., Husna, H., </w:t>
      </w:r>
      <w:proofErr w:type="spellStart"/>
      <w:r w:rsidRPr="00CE2E19">
        <w:rPr>
          <w:rFonts w:ascii="Garamond" w:hAnsi="Garamond"/>
          <w:sz w:val="24"/>
          <w:szCs w:val="24"/>
        </w:rPr>
        <w:t>Nabriz</w:t>
      </w:r>
      <w:proofErr w:type="spellEnd"/>
      <w:r w:rsidRPr="00CE2E19">
        <w:rPr>
          <w:rFonts w:ascii="Garamond" w:hAnsi="Garamond"/>
          <w:sz w:val="24"/>
          <w:szCs w:val="24"/>
        </w:rPr>
        <w:t xml:space="preserve">, A., &amp; Akbar, A. F. (2024). The objectives of Islamic education: Worldly, hereafter, and the formation of Muslim character in shaping individuals with morality and positive contributions. Al Ghazali: </w:t>
      </w:r>
      <w:proofErr w:type="spellStart"/>
      <w:r w:rsidRPr="00CE2E19">
        <w:rPr>
          <w:rFonts w:ascii="Garamond" w:hAnsi="Garamond"/>
          <w:sz w:val="24"/>
          <w:szCs w:val="24"/>
        </w:rPr>
        <w:t>Jurnal</w:t>
      </w:r>
      <w:proofErr w:type="spellEnd"/>
      <w:r w:rsidRPr="00CE2E19">
        <w:rPr>
          <w:rFonts w:ascii="Garamond" w:hAnsi="Garamond"/>
          <w:sz w:val="24"/>
          <w:szCs w:val="24"/>
        </w:rPr>
        <w:t xml:space="preserve"> Pendidikan dan </w:t>
      </w:r>
      <w:proofErr w:type="spellStart"/>
      <w:r w:rsidRPr="00CE2E19">
        <w:rPr>
          <w:rFonts w:ascii="Garamond" w:hAnsi="Garamond"/>
          <w:sz w:val="24"/>
          <w:szCs w:val="24"/>
        </w:rPr>
        <w:t>Pemikiran</w:t>
      </w:r>
      <w:proofErr w:type="spellEnd"/>
      <w:r w:rsidRPr="00CE2E19">
        <w:rPr>
          <w:rFonts w:ascii="Garamond" w:hAnsi="Garamond"/>
          <w:sz w:val="24"/>
          <w:szCs w:val="24"/>
        </w:rPr>
        <w:t xml:space="preserve"> Islam, 4(1), 1–20. </w:t>
      </w:r>
      <w:hyperlink r:id="rId34" w:history="1">
        <w:r w:rsidRPr="00CE2E19">
          <w:rPr>
            <w:rStyle w:val="Hyperlink"/>
            <w:rFonts w:ascii="Garamond" w:hAnsi="Garamond"/>
            <w:sz w:val="24"/>
            <w:szCs w:val="24"/>
          </w:rPr>
          <w:t>https://doi.org/10.69900/ag.v4i1.189</w:t>
        </w:r>
      </w:hyperlink>
    </w:p>
    <w:p w14:paraId="593A5C45"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Murdianto</w:t>
      </w:r>
      <w:proofErr w:type="spellEnd"/>
      <w:r w:rsidRPr="00CE2E19">
        <w:rPr>
          <w:rFonts w:ascii="Garamond" w:hAnsi="Garamond"/>
          <w:sz w:val="24"/>
          <w:szCs w:val="24"/>
        </w:rPr>
        <w:t xml:space="preserve">, </w:t>
      </w:r>
      <w:proofErr w:type="spellStart"/>
      <w:r w:rsidRPr="00CE2E19">
        <w:rPr>
          <w:rFonts w:ascii="Garamond" w:hAnsi="Garamond"/>
          <w:sz w:val="24"/>
          <w:szCs w:val="24"/>
        </w:rPr>
        <w:t>Yorman</w:t>
      </w:r>
      <w:proofErr w:type="spellEnd"/>
      <w:r w:rsidRPr="00CE2E19">
        <w:rPr>
          <w:rFonts w:ascii="Garamond" w:hAnsi="Garamond"/>
          <w:sz w:val="24"/>
          <w:szCs w:val="24"/>
        </w:rPr>
        <w:t xml:space="preserve">, &amp; Che Mat. (2025). A hybrid Islamic pedagogy model for Generation Alpha character education in the digital era. TARBIYA: Journal of Education in Muslim Society, 12(2), 193–212. </w:t>
      </w:r>
      <w:hyperlink r:id="rId35" w:history="1">
        <w:r w:rsidRPr="00CE2E19">
          <w:rPr>
            <w:rStyle w:val="Hyperlink"/>
            <w:rFonts w:ascii="Garamond" w:hAnsi="Garamond"/>
            <w:sz w:val="24"/>
            <w:szCs w:val="24"/>
          </w:rPr>
          <w:t>https://doi.org/10.15408/tjems.v12i2.51276</w:t>
        </w:r>
      </w:hyperlink>
    </w:p>
    <w:p w14:paraId="2EF2AFDD"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Murtadlo</w:t>
      </w:r>
      <w:proofErr w:type="spellEnd"/>
      <w:r w:rsidRPr="00CE2E19">
        <w:rPr>
          <w:rFonts w:ascii="Garamond" w:hAnsi="Garamond"/>
          <w:sz w:val="24"/>
          <w:szCs w:val="24"/>
        </w:rPr>
        <w:t xml:space="preserve">, S., Arifin, A. Z., &amp; </w:t>
      </w:r>
      <w:proofErr w:type="spellStart"/>
      <w:r w:rsidRPr="00CE2E19">
        <w:rPr>
          <w:rFonts w:ascii="Garamond" w:hAnsi="Garamond"/>
          <w:sz w:val="24"/>
          <w:szCs w:val="24"/>
        </w:rPr>
        <w:t>Situmeang</w:t>
      </w:r>
      <w:proofErr w:type="spellEnd"/>
      <w:r w:rsidRPr="00CE2E19">
        <w:rPr>
          <w:rFonts w:ascii="Garamond" w:hAnsi="Garamond"/>
          <w:sz w:val="24"/>
          <w:szCs w:val="24"/>
        </w:rPr>
        <w:t xml:space="preserve">, M. S. (2025). The influence of Islamic value-based character education on the formation of students' morals. </w:t>
      </w:r>
      <w:proofErr w:type="spellStart"/>
      <w:r w:rsidRPr="00CE2E19">
        <w:rPr>
          <w:rFonts w:ascii="Garamond" w:hAnsi="Garamond"/>
          <w:sz w:val="24"/>
          <w:szCs w:val="24"/>
        </w:rPr>
        <w:t>Thawalib</w:t>
      </w:r>
      <w:proofErr w:type="spellEnd"/>
      <w:r w:rsidRPr="00CE2E19">
        <w:rPr>
          <w:rFonts w:ascii="Garamond" w:hAnsi="Garamond"/>
          <w:sz w:val="24"/>
          <w:szCs w:val="24"/>
        </w:rPr>
        <w:t xml:space="preserve">: </w:t>
      </w:r>
      <w:proofErr w:type="spellStart"/>
      <w:r w:rsidRPr="00CE2E19">
        <w:rPr>
          <w:rFonts w:ascii="Garamond" w:hAnsi="Garamond"/>
          <w:sz w:val="24"/>
          <w:szCs w:val="24"/>
        </w:rPr>
        <w:t>Jurnal</w:t>
      </w:r>
      <w:proofErr w:type="spellEnd"/>
      <w:r w:rsidRPr="00CE2E19">
        <w:rPr>
          <w:rFonts w:ascii="Garamond" w:hAnsi="Garamond"/>
          <w:sz w:val="24"/>
          <w:szCs w:val="24"/>
        </w:rPr>
        <w:t xml:space="preserve"> </w:t>
      </w:r>
      <w:proofErr w:type="spellStart"/>
      <w:r w:rsidRPr="00CE2E19">
        <w:rPr>
          <w:rFonts w:ascii="Garamond" w:hAnsi="Garamond"/>
          <w:sz w:val="24"/>
          <w:szCs w:val="24"/>
        </w:rPr>
        <w:t>Kependidikan</w:t>
      </w:r>
      <w:proofErr w:type="spellEnd"/>
      <w:r w:rsidRPr="00CE2E19">
        <w:rPr>
          <w:rFonts w:ascii="Garamond" w:hAnsi="Garamond"/>
          <w:sz w:val="24"/>
          <w:szCs w:val="24"/>
        </w:rPr>
        <w:t xml:space="preserve"> Islam, 6(2), 337–348. </w:t>
      </w:r>
      <w:hyperlink r:id="rId36" w:history="1">
        <w:r w:rsidRPr="00CE2E19">
          <w:rPr>
            <w:rStyle w:val="Hyperlink"/>
            <w:rFonts w:ascii="Garamond" w:hAnsi="Garamond"/>
            <w:sz w:val="24"/>
            <w:szCs w:val="24"/>
          </w:rPr>
          <w:t>https://doi.org/10.54150/thawalib.v6i2.595</w:t>
        </w:r>
      </w:hyperlink>
    </w:p>
    <w:p w14:paraId="2F51813C"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Nurizah</w:t>
      </w:r>
      <w:proofErr w:type="spellEnd"/>
      <w:r w:rsidRPr="00CE2E19">
        <w:rPr>
          <w:rFonts w:ascii="Garamond" w:hAnsi="Garamond"/>
          <w:sz w:val="24"/>
          <w:szCs w:val="24"/>
        </w:rPr>
        <w:t xml:space="preserve">, A. K., &amp; </w:t>
      </w:r>
      <w:proofErr w:type="spellStart"/>
      <w:r w:rsidRPr="00CE2E19">
        <w:rPr>
          <w:rFonts w:ascii="Garamond" w:hAnsi="Garamond"/>
          <w:sz w:val="24"/>
          <w:szCs w:val="24"/>
        </w:rPr>
        <w:t>Amrullah</w:t>
      </w:r>
      <w:proofErr w:type="spellEnd"/>
      <w:r w:rsidRPr="00CE2E19">
        <w:rPr>
          <w:rFonts w:ascii="Garamond" w:hAnsi="Garamond"/>
          <w:sz w:val="24"/>
          <w:szCs w:val="24"/>
        </w:rPr>
        <w:t xml:space="preserve">, M. (2024). Religious character formation through Islamic habituation in primary education. Indonesian Journal of Islamic Studies, 12(4). </w:t>
      </w:r>
      <w:hyperlink r:id="rId37" w:history="1">
        <w:r w:rsidRPr="00CE2E19">
          <w:rPr>
            <w:rStyle w:val="Hyperlink"/>
            <w:rFonts w:ascii="Garamond" w:hAnsi="Garamond"/>
            <w:sz w:val="24"/>
            <w:szCs w:val="24"/>
          </w:rPr>
          <w:t>https://doi.org/10.21070/ijis.v12i4.1741</w:t>
        </w:r>
      </w:hyperlink>
    </w:p>
    <w:p w14:paraId="64D7AD5E" w14:textId="77777777" w:rsidR="00CE2E19" w:rsidRPr="00CE2E19" w:rsidRDefault="00CE2E19" w:rsidP="00CE2E19">
      <w:pPr>
        <w:pStyle w:val="NoSpacing"/>
        <w:spacing w:line="276" w:lineRule="auto"/>
        <w:ind w:left="567" w:hanging="567"/>
        <w:jc w:val="both"/>
        <w:rPr>
          <w:rFonts w:ascii="Garamond" w:hAnsi="Garamond"/>
          <w:sz w:val="24"/>
          <w:szCs w:val="24"/>
        </w:rPr>
      </w:pPr>
      <w:r w:rsidRPr="00CE2E19">
        <w:rPr>
          <w:rFonts w:ascii="Garamond" w:hAnsi="Garamond"/>
          <w:sz w:val="24"/>
          <w:szCs w:val="24"/>
        </w:rPr>
        <w:t xml:space="preserve">Putri, K. M., </w:t>
      </w:r>
      <w:proofErr w:type="spellStart"/>
      <w:r w:rsidRPr="00CE2E19">
        <w:rPr>
          <w:rFonts w:ascii="Garamond" w:hAnsi="Garamond"/>
          <w:sz w:val="24"/>
          <w:szCs w:val="24"/>
        </w:rPr>
        <w:t>Hamdanah</w:t>
      </w:r>
      <w:proofErr w:type="spellEnd"/>
      <w:r w:rsidRPr="00CE2E19">
        <w:rPr>
          <w:rFonts w:ascii="Garamond" w:hAnsi="Garamond"/>
          <w:sz w:val="24"/>
          <w:szCs w:val="24"/>
        </w:rPr>
        <w:t xml:space="preserve">, H., &amp; </w:t>
      </w:r>
      <w:proofErr w:type="spellStart"/>
      <w:r w:rsidRPr="00CE2E19">
        <w:rPr>
          <w:rFonts w:ascii="Garamond" w:hAnsi="Garamond"/>
          <w:sz w:val="24"/>
          <w:szCs w:val="24"/>
        </w:rPr>
        <w:t>Luthfi</w:t>
      </w:r>
      <w:proofErr w:type="spellEnd"/>
      <w:r w:rsidRPr="00CE2E19">
        <w:rPr>
          <w:rFonts w:ascii="Garamond" w:hAnsi="Garamond"/>
          <w:sz w:val="24"/>
          <w:szCs w:val="24"/>
        </w:rPr>
        <w:t xml:space="preserve">, S. (2024). </w:t>
      </w:r>
      <w:proofErr w:type="spellStart"/>
      <w:r w:rsidRPr="00CE2E19">
        <w:rPr>
          <w:rFonts w:ascii="Garamond" w:hAnsi="Garamond"/>
          <w:sz w:val="24"/>
          <w:szCs w:val="24"/>
        </w:rPr>
        <w:t>Pembinaan</w:t>
      </w:r>
      <w:proofErr w:type="spellEnd"/>
      <w:r w:rsidRPr="00CE2E19">
        <w:rPr>
          <w:rFonts w:ascii="Garamond" w:hAnsi="Garamond"/>
          <w:sz w:val="24"/>
          <w:szCs w:val="24"/>
        </w:rPr>
        <w:t xml:space="preserve"> </w:t>
      </w:r>
      <w:proofErr w:type="spellStart"/>
      <w:r w:rsidRPr="00CE2E19">
        <w:rPr>
          <w:rFonts w:ascii="Garamond" w:hAnsi="Garamond"/>
          <w:sz w:val="24"/>
          <w:szCs w:val="24"/>
        </w:rPr>
        <w:t>akhlak</w:t>
      </w:r>
      <w:proofErr w:type="spellEnd"/>
      <w:r w:rsidRPr="00CE2E19">
        <w:rPr>
          <w:rFonts w:ascii="Garamond" w:hAnsi="Garamond"/>
          <w:sz w:val="24"/>
          <w:szCs w:val="24"/>
        </w:rPr>
        <w:t xml:space="preserve"> </w:t>
      </w:r>
      <w:proofErr w:type="spellStart"/>
      <w:r w:rsidRPr="00CE2E19">
        <w:rPr>
          <w:rFonts w:ascii="Garamond" w:hAnsi="Garamond"/>
          <w:sz w:val="24"/>
          <w:szCs w:val="24"/>
        </w:rPr>
        <w:t>dalam</w:t>
      </w:r>
      <w:proofErr w:type="spellEnd"/>
      <w:r w:rsidRPr="00CE2E19">
        <w:rPr>
          <w:rFonts w:ascii="Garamond" w:hAnsi="Garamond"/>
          <w:sz w:val="24"/>
          <w:szCs w:val="24"/>
        </w:rPr>
        <w:t xml:space="preserve"> </w:t>
      </w:r>
      <w:proofErr w:type="spellStart"/>
      <w:r w:rsidRPr="00CE2E19">
        <w:rPr>
          <w:rFonts w:ascii="Garamond" w:hAnsi="Garamond"/>
          <w:sz w:val="24"/>
          <w:szCs w:val="24"/>
        </w:rPr>
        <w:t>upaya</w:t>
      </w:r>
      <w:proofErr w:type="spellEnd"/>
      <w:r w:rsidRPr="00CE2E19">
        <w:rPr>
          <w:rFonts w:ascii="Garamond" w:hAnsi="Garamond"/>
          <w:sz w:val="24"/>
          <w:szCs w:val="24"/>
        </w:rPr>
        <w:t xml:space="preserve"> </w:t>
      </w:r>
      <w:proofErr w:type="spellStart"/>
      <w:r w:rsidRPr="00CE2E19">
        <w:rPr>
          <w:rFonts w:ascii="Garamond" w:hAnsi="Garamond"/>
          <w:sz w:val="24"/>
          <w:szCs w:val="24"/>
        </w:rPr>
        <w:t>penguatan</w:t>
      </w:r>
      <w:proofErr w:type="spellEnd"/>
      <w:r w:rsidRPr="00CE2E19">
        <w:rPr>
          <w:rFonts w:ascii="Garamond" w:hAnsi="Garamond"/>
          <w:sz w:val="24"/>
          <w:szCs w:val="24"/>
        </w:rPr>
        <w:t xml:space="preserve"> self-control </w:t>
      </w:r>
      <w:proofErr w:type="spellStart"/>
      <w:r w:rsidRPr="00CE2E19">
        <w:rPr>
          <w:rFonts w:ascii="Garamond" w:hAnsi="Garamond"/>
          <w:sz w:val="24"/>
          <w:szCs w:val="24"/>
        </w:rPr>
        <w:t>siswa</w:t>
      </w:r>
      <w:proofErr w:type="spellEnd"/>
      <w:r w:rsidRPr="00CE2E19">
        <w:rPr>
          <w:rFonts w:ascii="Garamond" w:hAnsi="Garamond"/>
          <w:sz w:val="24"/>
          <w:szCs w:val="24"/>
        </w:rPr>
        <w:t xml:space="preserve"> era digital di Madrasah Aliyah Negeri Kota </w:t>
      </w:r>
      <w:proofErr w:type="spellStart"/>
      <w:r w:rsidRPr="00CE2E19">
        <w:rPr>
          <w:rFonts w:ascii="Garamond" w:hAnsi="Garamond"/>
          <w:sz w:val="24"/>
          <w:szCs w:val="24"/>
        </w:rPr>
        <w:t>Palangka</w:t>
      </w:r>
      <w:proofErr w:type="spellEnd"/>
      <w:r w:rsidRPr="00CE2E19">
        <w:rPr>
          <w:rFonts w:ascii="Garamond" w:hAnsi="Garamond"/>
          <w:sz w:val="24"/>
          <w:szCs w:val="24"/>
        </w:rPr>
        <w:t xml:space="preserve"> Raya. </w:t>
      </w:r>
      <w:proofErr w:type="spellStart"/>
      <w:r w:rsidRPr="00CE2E19">
        <w:rPr>
          <w:rFonts w:ascii="Garamond" w:hAnsi="Garamond"/>
          <w:sz w:val="24"/>
          <w:szCs w:val="24"/>
        </w:rPr>
        <w:t>Jurnal</w:t>
      </w:r>
      <w:proofErr w:type="spellEnd"/>
      <w:r w:rsidRPr="00CE2E19">
        <w:rPr>
          <w:rFonts w:ascii="Garamond" w:hAnsi="Garamond"/>
          <w:sz w:val="24"/>
          <w:szCs w:val="24"/>
        </w:rPr>
        <w:t xml:space="preserve"> Pendidikan Agama Islam Al-</w:t>
      </w:r>
      <w:proofErr w:type="spellStart"/>
      <w:r w:rsidRPr="00CE2E19">
        <w:rPr>
          <w:rFonts w:ascii="Garamond" w:hAnsi="Garamond"/>
          <w:sz w:val="24"/>
          <w:szCs w:val="24"/>
        </w:rPr>
        <w:t>Thariqah</w:t>
      </w:r>
      <w:proofErr w:type="spellEnd"/>
      <w:r w:rsidRPr="00CE2E19">
        <w:rPr>
          <w:rFonts w:ascii="Garamond" w:hAnsi="Garamond"/>
          <w:sz w:val="24"/>
          <w:szCs w:val="24"/>
        </w:rPr>
        <w:t xml:space="preserve">, 9(2), 170–183. </w:t>
      </w:r>
      <w:hyperlink r:id="rId38" w:history="1">
        <w:r w:rsidRPr="00CE2E19">
          <w:rPr>
            <w:rStyle w:val="Hyperlink"/>
            <w:rFonts w:ascii="Garamond" w:hAnsi="Garamond"/>
            <w:sz w:val="24"/>
            <w:szCs w:val="24"/>
          </w:rPr>
          <w:t>https://doi.org/10.25299/althariqah.2024.vol9(2).18956</w:t>
        </w:r>
      </w:hyperlink>
    </w:p>
    <w:p w14:paraId="4122CF6E"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lastRenderedPageBreak/>
        <w:t>Rahayu</w:t>
      </w:r>
      <w:proofErr w:type="spellEnd"/>
      <w:r w:rsidRPr="00CE2E19">
        <w:rPr>
          <w:rFonts w:ascii="Garamond" w:hAnsi="Garamond"/>
          <w:sz w:val="24"/>
          <w:szCs w:val="24"/>
        </w:rPr>
        <w:t xml:space="preserve">, W., </w:t>
      </w:r>
      <w:proofErr w:type="spellStart"/>
      <w:r w:rsidRPr="00CE2E19">
        <w:rPr>
          <w:rFonts w:ascii="Garamond" w:hAnsi="Garamond"/>
          <w:sz w:val="24"/>
          <w:szCs w:val="24"/>
        </w:rPr>
        <w:t>Zukri</w:t>
      </w:r>
      <w:proofErr w:type="spellEnd"/>
      <w:r w:rsidRPr="00CE2E19">
        <w:rPr>
          <w:rFonts w:ascii="Garamond" w:hAnsi="Garamond"/>
          <w:sz w:val="24"/>
          <w:szCs w:val="24"/>
        </w:rPr>
        <w:t xml:space="preserve">, A., </w:t>
      </w:r>
      <w:proofErr w:type="spellStart"/>
      <w:r w:rsidRPr="00CE2E19">
        <w:rPr>
          <w:rFonts w:ascii="Garamond" w:hAnsi="Garamond"/>
          <w:sz w:val="24"/>
          <w:szCs w:val="24"/>
        </w:rPr>
        <w:t>Maimunah</w:t>
      </w:r>
      <w:proofErr w:type="spellEnd"/>
      <w:r w:rsidRPr="00CE2E19">
        <w:rPr>
          <w:rFonts w:ascii="Garamond" w:hAnsi="Garamond"/>
          <w:sz w:val="24"/>
          <w:szCs w:val="24"/>
        </w:rPr>
        <w:t xml:space="preserve">, A., Sari, D. M., Jannah, R., &amp; </w:t>
      </w:r>
      <w:proofErr w:type="spellStart"/>
      <w:r w:rsidRPr="00CE2E19">
        <w:rPr>
          <w:rFonts w:ascii="Garamond" w:hAnsi="Garamond"/>
          <w:sz w:val="24"/>
          <w:szCs w:val="24"/>
        </w:rPr>
        <w:t>Ikhlas</w:t>
      </w:r>
      <w:proofErr w:type="spellEnd"/>
      <w:r w:rsidRPr="00CE2E19">
        <w:rPr>
          <w:rFonts w:ascii="Garamond" w:hAnsi="Garamond"/>
          <w:sz w:val="24"/>
          <w:szCs w:val="24"/>
        </w:rPr>
        <w:t>, M. (2023). Character education in Islamic education: Strengthening and implementing in the digital age. At-</w:t>
      </w:r>
      <w:proofErr w:type="spellStart"/>
      <w:r w:rsidRPr="00CE2E19">
        <w:rPr>
          <w:rFonts w:ascii="Garamond" w:hAnsi="Garamond"/>
          <w:sz w:val="24"/>
          <w:szCs w:val="24"/>
        </w:rPr>
        <w:t>Tarbawi</w:t>
      </w:r>
      <w:proofErr w:type="spellEnd"/>
      <w:r w:rsidRPr="00CE2E19">
        <w:rPr>
          <w:rFonts w:ascii="Garamond" w:hAnsi="Garamond"/>
          <w:sz w:val="24"/>
          <w:szCs w:val="24"/>
        </w:rPr>
        <w:t xml:space="preserve">: </w:t>
      </w:r>
      <w:proofErr w:type="spellStart"/>
      <w:r w:rsidRPr="00CE2E19">
        <w:rPr>
          <w:rFonts w:ascii="Garamond" w:hAnsi="Garamond"/>
          <w:sz w:val="24"/>
          <w:szCs w:val="24"/>
        </w:rPr>
        <w:t>Jurnal</w:t>
      </w:r>
      <w:proofErr w:type="spellEnd"/>
      <w:r w:rsidRPr="00CE2E19">
        <w:rPr>
          <w:rFonts w:ascii="Garamond" w:hAnsi="Garamond"/>
          <w:sz w:val="24"/>
          <w:szCs w:val="24"/>
        </w:rPr>
        <w:t xml:space="preserve"> Kajian </w:t>
      </w:r>
      <w:proofErr w:type="spellStart"/>
      <w:r w:rsidRPr="00CE2E19">
        <w:rPr>
          <w:rFonts w:ascii="Garamond" w:hAnsi="Garamond"/>
          <w:sz w:val="24"/>
          <w:szCs w:val="24"/>
        </w:rPr>
        <w:t>Kependidikan</w:t>
      </w:r>
      <w:proofErr w:type="spellEnd"/>
      <w:r w:rsidRPr="00CE2E19">
        <w:rPr>
          <w:rFonts w:ascii="Garamond" w:hAnsi="Garamond"/>
          <w:sz w:val="24"/>
          <w:szCs w:val="24"/>
        </w:rPr>
        <w:t xml:space="preserve"> Islam, 8(2), 127–144. </w:t>
      </w:r>
      <w:hyperlink r:id="rId39" w:history="1">
        <w:r w:rsidRPr="00CE2E19">
          <w:rPr>
            <w:rStyle w:val="Hyperlink"/>
            <w:rFonts w:ascii="Garamond" w:hAnsi="Garamond"/>
            <w:sz w:val="24"/>
            <w:szCs w:val="24"/>
          </w:rPr>
          <w:t>https://doi.org/10.22515/attarbawi.v8i2.7498</w:t>
        </w:r>
      </w:hyperlink>
    </w:p>
    <w:p w14:paraId="6F7C9875" w14:textId="77777777" w:rsidR="00CE2E19" w:rsidRPr="00CE2E19" w:rsidRDefault="00CE2E19" w:rsidP="00CE2E19">
      <w:pPr>
        <w:pStyle w:val="NoSpacing"/>
        <w:spacing w:line="276" w:lineRule="auto"/>
        <w:ind w:left="567" w:hanging="567"/>
        <w:jc w:val="both"/>
        <w:rPr>
          <w:rFonts w:ascii="Garamond" w:hAnsi="Garamond"/>
          <w:sz w:val="24"/>
          <w:szCs w:val="24"/>
        </w:rPr>
      </w:pPr>
      <w:r w:rsidRPr="00CE2E19">
        <w:rPr>
          <w:rFonts w:ascii="Garamond" w:hAnsi="Garamond"/>
          <w:sz w:val="24"/>
          <w:szCs w:val="24"/>
        </w:rPr>
        <w:t>Ravitch, S. M., &amp; Carl, N. M. (2020). Qualitative research: Bridging the conceptual, theoretical, and methodological (2nd ed.). SAGE Publications.</w:t>
      </w:r>
    </w:p>
    <w:p w14:paraId="19F1B71E"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Romzi</w:t>
      </w:r>
      <w:proofErr w:type="spellEnd"/>
      <w:r w:rsidRPr="00CE2E19">
        <w:rPr>
          <w:rFonts w:ascii="Garamond" w:hAnsi="Garamond"/>
          <w:sz w:val="24"/>
          <w:szCs w:val="24"/>
        </w:rPr>
        <w:t xml:space="preserve">, M., </w:t>
      </w:r>
      <w:proofErr w:type="spellStart"/>
      <w:r w:rsidRPr="00CE2E19">
        <w:rPr>
          <w:rFonts w:ascii="Garamond" w:hAnsi="Garamond"/>
          <w:sz w:val="24"/>
          <w:szCs w:val="24"/>
        </w:rPr>
        <w:t>Noviyanti</w:t>
      </w:r>
      <w:proofErr w:type="spellEnd"/>
      <w:r w:rsidRPr="00CE2E19">
        <w:rPr>
          <w:rFonts w:ascii="Garamond" w:hAnsi="Garamond"/>
          <w:sz w:val="24"/>
          <w:szCs w:val="24"/>
        </w:rPr>
        <w:t xml:space="preserve">, S. F., </w:t>
      </w:r>
      <w:proofErr w:type="spellStart"/>
      <w:r w:rsidRPr="00CE2E19">
        <w:rPr>
          <w:rFonts w:ascii="Garamond" w:hAnsi="Garamond"/>
          <w:sz w:val="24"/>
          <w:szCs w:val="24"/>
        </w:rPr>
        <w:t>Hamidah</w:t>
      </w:r>
      <w:proofErr w:type="spellEnd"/>
      <w:r w:rsidRPr="00CE2E19">
        <w:rPr>
          <w:rFonts w:ascii="Garamond" w:hAnsi="Garamond"/>
          <w:sz w:val="24"/>
          <w:szCs w:val="24"/>
        </w:rPr>
        <w:t xml:space="preserve">, T., &amp; </w:t>
      </w:r>
      <w:proofErr w:type="spellStart"/>
      <w:r w:rsidRPr="00CE2E19">
        <w:rPr>
          <w:rFonts w:ascii="Garamond" w:hAnsi="Garamond"/>
          <w:sz w:val="24"/>
          <w:szCs w:val="24"/>
        </w:rPr>
        <w:t>Fawaid</w:t>
      </w:r>
      <w:proofErr w:type="spellEnd"/>
      <w:r w:rsidRPr="00CE2E19">
        <w:rPr>
          <w:rFonts w:ascii="Garamond" w:hAnsi="Garamond"/>
          <w:sz w:val="24"/>
          <w:szCs w:val="24"/>
        </w:rPr>
        <w:t xml:space="preserve">, A. (2024). Integration of Islamic teachings in character education to strengthen morality and ethics in schools. </w:t>
      </w:r>
      <w:proofErr w:type="spellStart"/>
      <w:r w:rsidRPr="00CE2E19">
        <w:rPr>
          <w:rFonts w:ascii="Garamond" w:hAnsi="Garamond"/>
          <w:sz w:val="24"/>
          <w:szCs w:val="24"/>
        </w:rPr>
        <w:t>Maharot</w:t>
      </w:r>
      <w:proofErr w:type="spellEnd"/>
      <w:r w:rsidRPr="00CE2E19">
        <w:rPr>
          <w:rFonts w:ascii="Garamond" w:hAnsi="Garamond"/>
          <w:sz w:val="24"/>
          <w:szCs w:val="24"/>
        </w:rPr>
        <w:t xml:space="preserve">: Journal of Islamic Education, 8(2). </w:t>
      </w:r>
      <w:hyperlink r:id="rId40" w:history="1">
        <w:r w:rsidRPr="00CE2E19">
          <w:rPr>
            <w:rStyle w:val="Hyperlink"/>
            <w:rFonts w:ascii="Garamond" w:hAnsi="Garamond"/>
            <w:sz w:val="24"/>
            <w:szCs w:val="24"/>
          </w:rPr>
          <w:t>https://doi.org/10.28944/maharot.v8i2.1809</w:t>
        </w:r>
      </w:hyperlink>
    </w:p>
    <w:p w14:paraId="690AC20D"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Rusydiyah</w:t>
      </w:r>
      <w:proofErr w:type="spellEnd"/>
      <w:r w:rsidRPr="00CE2E19">
        <w:rPr>
          <w:rFonts w:ascii="Garamond" w:hAnsi="Garamond"/>
          <w:sz w:val="24"/>
          <w:szCs w:val="24"/>
        </w:rPr>
        <w:t xml:space="preserve">, E. F., Rahman, M. R., </w:t>
      </w:r>
      <w:proofErr w:type="spellStart"/>
      <w:r w:rsidRPr="00CE2E19">
        <w:rPr>
          <w:rFonts w:ascii="Garamond" w:hAnsi="Garamond"/>
          <w:sz w:val="24"/>
          <w:szCs w:val="24"/>
        </w:rPr>
        <w:t>Wulandari</w:t>
      </w:r>
      <w:proofErr w:type="spellEnd"/>
      <w:r w:rsidRPr="00CE2E19">
        <w:rPr>
          <w:rFonts w:ascii="Garamond" w:hAnsi="Garamond"/>
          <w:sz w:val="24"/>
          <w:szCs w:val="24"/>
        </w:rPr>
        <w:t xml:space="preserve">, L., &amp; Abidin, A. Z. (2023). Integration of Islamic Religious Education learning in mathematics as an effort to strengthen student character education. TADRIS: </w:t>
      </w:r>
      <w:proofErr w:type="spellStart"/>
      <w:r w:rsidRPr="00CE2E19">
        <w:rPr>
          <w:rFonts w:ascii="Garamond" w:hAnsi="Garamond"/>
          <w:sz w:val="24"/>
          <w:szCs w:val="24"/>
        </w:rPr>
        <w:t>Jurnal</w:t>
      </w:r>
      <w:proofErr w:type="spellEnd"/>
      <w:r w:rsidRPr="00CE2E19">
        <w:rPr>
          <w:rFonts w:ascii="Garamond" w:hAnsi="Garamond"/>
          <w:sz w:val="24"/>
          <w:szCs w:val="24"/>
        </w:rPr>
        <w:t xml:space="preserve"> Pendidikan Islam, 18(1), 1–20. </w:t>
      </w:r>
      <w:hyperlink r:id="rId41" w:history="1">
        <w:r w:rsidRPr="00CE2E19">
          <w:rPr>
            <w:rStyle w:val="Hyperlink"/>
            <w:rFonts w:ascii="Garamond" w:hAnsi="Garamond"/>
            <w:sz w:val="24"/>
            <w:szCs w:val="24"/>
          </w:rPr>
          <w:t>https://doi.org/10.19105/tjpi.v18i1.7073</w:t>
        </w:r>
      </w:hyperlink>
    </w:p>
    <w:p w14:paraId="5CC369DA"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Saldaña</w:t>
      </w:r>
      <w:proofErr w:type="spellEnd"/>
      <w:r w:rsidRPr="00CE2E19">
        <w:rPr>
          <w:rFonts w:ascii="Garamond" w:hAnsi="Garamond"/>
          <w:sz w:val="24"/>
          <w:szCs w:val="24"/>
        </w:rPr>
        <w:t>, J. (2021). The coding manual for qualitative researchers (4th ed.). SAGE Publications.</w:t>
      </w:r>
    </w:p>
    <w:p w14:paraId="4FC0B712" w14:textId="77777777" w:rsidR="00CE2E19" w:rsidRPr="00CE2E19" w:rsidRDefault="00CE2E19" w:rsidP="00CE2E19">
      <w:pPr>
        <w:pStyle w:val="NoSpacing"/>
        <w:spacing w:line="276" w:lineRule="auto"/>
        <w:ind w:left="567" w:hanging="567"/>
        <w:jc w:val="both"/>
        <w:rPr>
          <w:rFonts w:ascii="Garamond" w:hAnsi="Garamond"/>
          <w:sz w:val="24"/>
          <w:szCs w:val="24"/>
        </w:rPr>
      </w:pPr>
      <w:r w:rsidRPr="00CE2E19">
        <w:rPr>
          <w:rFonts w:ascii="Garamond" w:hAnsi="Garamond"/>
          <w:sz w:val="24"/>
          <w:szCs w:val="24"/>
        </w:rPr>
        <w:t xml:space="preserve">Setiawan, I., </w:t>
      </w:r>
      <w:proofErr w:type="spellStart"/>
      <w:r w:rsidRPr="00CE2E19">
        <w:rPr>
          <w:rFonts w:ascii="Garamond" w:hAnsi="Garamond"/>
          <w:sz w:val="24"/>
          <w:szCs w:val="24"/>
        </w:rPr>
        <w:t>Fadloli</w:t>
      </w:r>
      <w:proofErr w:type="spellEnd"/>
      <w:r w:rsidRPr="00CE2E19">
        <w:rPr>
          <w:rFonts w:ascii="Garamond" w:hAnsi="Garamond"/>
          <w:sz w:val="24"/>
          <w:szCs w:val="24"/>
        </w:rPr>
        <w:t xml:space="preserve">, F., </w:t>
      </w:r>
      <w:proofErr w:type="spellStart"/>
      <w:r w:rsidRPr="00CE2E19">
        <w:rPr>
          <w:rFonts w:ascii="Garamond" w:hAnsi="Garamond"/>
          <w:sz w:val="24"/>
          <w:szCs w:val="24"/>
        </w:rPr>
        <w:t>Chalim</w:t>
      </w:r>
      <w:proofErr w:type="spellEnd"/>
      <w:r w:rsidRPr="00CE2E19">
        <w:rPr>
          <w:rFonts w:ascii="Garamond" w:hAnsi="Garamond"/>
          <w:sz w:val="24"/>
          <w:szCs w:val="24"/>
        </w:rPr>
        <w:t xml:space="preserve">, A., &amp; Amalia, A. R. (2025). Building digital ethics in the perspective of Islamic Religious Education. Journal of Research in Islamic Education, 7(1), 245–255. </w:t>
      </w:r>
      <w:hyperlink r:id="rId42" w:history="1">
        <w:r w:rsidRPr="00CE2E19">
          <w:rPr>
            <w:rStyle w:val="Hyperlink"/>
            <w:rFonts w:ascii="Garamond" w:hAnsi="Garamond"/>
            <w:sz w:val="24"/>
            <w:szCs w:val="24"/>
          </w:rPr>
          <w:t>https://doi.org/10.25217/jrie.v7i1.5929</w:t>
        </w:r>
      </w:hyperlink>
    </w:p>
    <w:p w14:paraId="2F3C1671"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Sidiq</w:t>
      </w:r>
      <w:proofErr w:type="spellEnd"/>
      <w:r w:rsidRPr="00CE2E19">
        <w:rPr>
          <w:rFonts w:ascii="Garamond" w:hAnsi="Garamond"/>
          <w:sz w:val="24"/>
          <w:szCs w:val="24"/>
        </w:rPr>
        <w:t xml:space="preserve">, U., &amp; </w:t>
      </w:r>
      <w:proofErr w:type="spellStart"/>
      <w:r w:rsidRPr="00CE2E19">
        <w:rPr>
          <w:rFonts w:ascii="Garamond" w:hAnsi="Garamond"/>
          <w:sz w:val="24"/>
          <w:szCs w:val="24"/>
        </w:rPr>
        <w:t>Choiri</w:t>
      </w:r>
      <w:proofErr w:type="spellEnd"/>
      <w:r w:rsidRPr="00CE2E19">
        <w:rPr>
          <w:rFonts w:ascii="Garamond" w:hAnsi="Garamond"/>
          <w:sz w:val="24"/>
          <w:szCs w:val="24"/>
        </w:rPr>
        <w:t xml:space="preserve">, M. M. (2019). </w:t>
      </w:r>
      <w:proofErr w:type="spellStart"/>
      <w:r w:rsidRPr="00CE2E19">
        <w:rPr>
          <w:rFonts w:ascii="Garamond" w:hAnsi="Garamond"/>
          <w:sz w:val="24"/>
          <w:szCs w:val="24"/>
        </w:rPr>
        <w:t>Metode</w:t>
      </w:r>
      <w:proofErr w:type="spellEnd"/>
      <w:r w:rsidRPr="00CE2E19">
        <w:rPr>
          <w:rFonts w:ascii="Garamond" w:hAnsi="Garamond"/>
          <w:sz w:val="24"/>
          <w:szCs w:val="24"/>
        </w:rPr>
        <w:t xml:space="preserve"> </w:t>
      </w:r>
      <w:proofErr w:type="spellStart"/>
      <w:r w:rsidRPr="00CE2E19">
        <w:rPr>
          <w:rFonts w:ascii="Garamond" w:hAnsi="Garamond"/>
          <w:sz w:val="24"/>
          <w:szCs w:val="24"/>
        </w:rPr>
        <w:t>penelitian</w:t>
      </w:r>
      <w:proofErr w:type="spellEnd"/>
      <w:r w:rsidRPr="00CE2E19">
        <w:rPr>
          <w:rFonts w:ascii="Garamond" w:hAnsi="Garamond"/>
          <w:sz w:val="24"/>
          <w:szCs w:val="24"/>
        </w:rPr>
        <w:t xml:space="preserve"> </w:t>
      </w:r>
      <w:proofErr w:type="spellStart"/>
      <w:r w:rsidRPr="00CE2E19">
        <w:rPr>
          <w:rFonts w:ascii="Garamond" w:hAnsi="Garamond"/>
          <w:sz w:val="24"/>
          <w:szCs w:val="24"/>
        </w:rPr>
        <w:t>kualitatif</w:t>
      </w:r>
      <w:proofErr w:type="spellEnd"/>
      <w:r w:rsidRPr="00CE2E19">
        <w:rPr>
          <w:rFonts w:ascii="Garamond" w:hAnsi="Garamond"/>
          <w:sz w:val="24"/>
          <w:szCs w:val="24"/>
        </w:rPr>
        <w:t xml:space="preserve"> di </w:t>
      </w:r>
      <w:proofErr w:type="spellStart"/>
      <w:r w:rsidRPr="00CE2E19">
        <w:rPr>
          <w:rFonts w:ascii="Garamond" w:hAnsi="Garamond"/>
          <w:sz w:val="24"/>
          <w:szCs w:val="24"/>
        </w:rPr>
        <w:t>bidang</w:t>
      </w:r>
      <w:proofErr w:type="spellEnd"/>
      <w:r w:rsidRPr="00CE2E19">
        <w:rPr>
          <w:rFonts w:ascii="Garamond" w:hAnsi="Garamond"/>
          <w:sz w:val="24"/>
          <w:szCs w:val="24"/>
        </w:rPr>
        <w:t xml:space="preserve"> </w:t>
      </w:r>
      <w:proofErr w:type="spellStart"/>
      <w:r w:rsidRPr="00CE2E19">
        <w:rPr>
          <w:rFonts w:ascii="Garamond" w:hAnsi="Garamond"/>
          <w:sz w:val="24"/>
          <w:szCs w:val="24"/>
        </w:rPr>
        <w:t>pendidikan</w:t>
      </w:r>
      <w:proofErr w:type="spellEnd"/>
      <w:r w:rsidRPr="00CE2E19">
        <w:rPr>
          <w:rFonts w:ascii="Garamond" w:hAnsi="Garamond"/>
          <w:sz w:val="24"/>
          <w:szCs w:val="24"/>
        </w:rPr>
        <w:t xml:space="preserve">. CV Nata </w:t>
      </w:r>
      <w:proofErr w:type="spellStart"/>
      <w:r w:rsidRPr="00CE2E19">
        <w:rPr>
          <w:rFonts w:ascii="Garamond" w:hAnsi="Garamond"/>
          <w:sz w:val="24"/>
          <w:szCs w:val="24"/>
        </w:rPr>
        <w:t>Karya</w:t>
      </w:r>
      <w:proofErr w:type="spellEnd"/>
      <w:r w:rsidRPr="00CE2E19">
        <w:rPr>
          <w:rFonts w:ascii="Garamond" w:hAnsi="Garamond"/>
          <w:sz w:val="24"/>
          <w:szCs w:val="24"/>
        </w:rPr>
        <w:t>.</w:t>
      </w:r>
    </w:p>
    <w:p w14:paraId="2F35ABEB"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Sitompul</w:t>
      </w:r>
      <w:proofErr w:type="spellEnd"/>
      <w:r w:rsidRPr="00CE2E19">
        <w:rPr>
          <w:rFonts w:ascii="Garamond" w:hAnsi="Garamond"/>
          <w:sz w:val="24"/>
          <w:szCs w:val="24"/>
        </w:rPr>
        <w:t xml:space="preserve">, J., </w:t>
      </w:r>
      <w:proofErr w:type="spellStart"/>
      <w:r w:rsidRPr="00CE2E19">
        <w:rPr>
          <w:rFonts w:ascii="Garamond" w:hAnsi="Garamond"/>
          <w:sz w:val="24"/>
          <w:szCs w:val="24"/>
        </w:rPr>
        <w:t>Suryadi</w:t>
      </w:r>
      <w:proofErr w:type="spellEnd"/>
      <w:r w:rsidRPr="00CE2E19">
        <w:rPr>
          <w:rFonts w:ascii="Garamond" w:hAnsi="Garamond"/>
          <w:sz w:val="24"/>
          <w:szCs w:val="24"/>
        </w:rPr>
        <w:t xml:space="preserve">, F. R., Putri, S. V., &amp; </w:t>
      </w:r>
      <w:proofErr w:type="spellStart"/>
      <w:r w:rsidRPr="00CE2E19">
        <w:rPr>
          <w:rFonts w:ascii="Garamond" w:hAnsi="Garamond"/>
          <w:sz w:val="24"/>
          <w:szCs w:val="24"/>
        </w:rPr>
        <w:t>Gusmaneli</w:t>
      </w:r>
      <w:proofErr w:type="spellEnd"/>
      <w:r w:rsidRPr="00CE2E19">
        <w:rPr>
          <w:rFonts w:ascii="Garamond" w:hAnsi="Garamond"/>
          <w:sz w:val="24"/>
          <w:szCs w:val="24"/>
        </w:rPr>
        <w:t xml:space="preserve">, G. (2023). The moderating role of Islamic Religious Education teachers in shaping students' character and morals. AL-IMAM: Journal on Islamic Studies, Civilization and Learning Societies, 4(2), 67–78. </w:t>
      </w:r>
      <w:hyperlink r:id="rId43" w:history="1">
        <w:r w:rsidRPr="00CE2E19">
          <w:rPr>
            <w:rStyle w:val="Hyperlink"/>
            <w:rFonts w:ascii="Garamond" w:hAnsi="Garamond"/>
            <w:sz w:val="24"/>
            <w:szCs w:val="24"/>
          </w:rPr>
          <w:t>https://doi.org/10.58764/j.im.2023.4.44</w:t>
        </w:r>
      </w:hyperlink>
    </w:p>
    <w:p w14:paraId="3911190F"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Sudarmi</w:t>
      </w:r>
      <w:proofErr w:type="spellEnd"/>
      <w:r w:rsidRPr="00CE2E19">
        <w:rPr>
          <w:rFonts w:ascii="Garamond" w:hAnsi="Garamond"/>
          <w:sz w:val="24"/>
          <w:szCs w:val="24"/>
        </w:rPr>
        <w:t xml:space="preserve">, A., &amp; Yusuf, M. (2022). Developing Islamic education and </w:t>
      </w:r>
      <w:proofErr w:type="gramStart"/>
      <w:r w:rsidRPr="00CE2E19">
        <w:rPr>
          <w:rFonts w:ascii="Garamond" w:hAnsi="Garamond"/>
          <w:sz w:val="24"/>
          <w:szCs w:val="24"/>
        </w:rPr>
        <w:t>character based</w:t>
      </w:r>
      <w:proofErr w:type="gramEnd"/>
      <w:r w:rsidRPr="00CE2E19">
        <w:rPr>
          <w:rFonts w:ascii="Garamond" w:hAnsi="Garamond"/>
          <w:sz w:val="24"/>
          <w:szCs w:val="24"/>
        </w:rPr>
        <w:t xml:space="preserve"> learning models based on emotional intelligence to improve morality of students at Budi </w:t>
      </w:r>
      <w:proofErr w:type="spellStart"/>
      <w:r w:rsidRPr="00CE2E19">
        <w:rPr>
          <w:rFonts w:ascii="Garamond" w:hAnsi="Garamond"/>
          <w:sz w:val="24"/>
          <w:szCs w:val="24"/>
        </w:rPr>
        <w:t>Utomo</w:t>
      </w:r>
      <w:proofErr w:type="spellEnd"/>
      <w:r w:rsidRPr="00CE2E19">
        <w:rPr>
          <w:rFonts w:ascii="Garamond" w:hAnsi="Garamond"/>
          <w:sz w:val="24"/>
          <w:szCs w:val="24"/>
        </w:rPr>
        <w:t xml:space="preserve"> Vocational School (SMK) Way </w:t>
      </w:r>
      <w:proofErr w:type="spellStart"/>
      <w:r w:rsidRPr="00CE2E19">
        <w:rPr>
          <w:rFonts w:ascii="Garamond" w:hAnsi="Garamond"/>
          <w:sz w:val="24"/>
          <w:szCs w:val="24"/>
        </w:rPr>
        <w:t>Jepara</w:t>
      </w:r>
      <w:proofErr w:type="spellEnd"/>
      <w:r w:rsidRPr="00CE2E19">
        <w:rPr>
          <w:rFonts w:ascii="Garamond" w:hAnsi="Garamond"/>
          <w:sz w:val="24"/>
          <w:szCs w:val="24"/>
        </w:rPr>
        <w:t xml:space="preserve">. Journal of Research in Islamic Education, 4(2), 148–160. </w:t>
      </w:r>
      <w:hyperlink r:id="rId44" w:history="1">
        <w:r w:rsidRPr="00CE2E19">
          <w:rPr>
            <w:rStyle w:val="Hyperlink"/>
            <w:rFonts w:ascii="Garamond" w:hAnsi="Garamond"/>
            <w:sz w:val="24"/>
            <w:szCs w:val="24"/>
          </w:rPr>
          <w:t>https://doi.org/10.25217/jrie.v4i1.1754</w:t>
        </w:r>
      </w:hyperlink>
    </w:p>
    <w:p w14:paraId="5FFB2140"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Sugiyono</w:t>
      </w:r>
      <w:proofErr w:type="spellEnd"/>
      <w:r w:rsidRPr="00CE2E19">
        <w:rPr>
          <w:rFonts w:ascii="Garamond" w:hAnsi="Garamond"/>
          <w:sz w:val="24"/>
          <w:szCs w:val="24"/>
        </w:rPr>
        <w:t xml:space="preserve">. (2022). </w:t>
      </w:r>
      <w:proofErr w:type="spellStart"/>
      <w:r w:rsidRPr="00CE2E19">
        <w:rPr>
          <w:rFonts w:ascii="Garamond" w:hAnsi="Garamond"/>
          <w:sz w:val="24"/>
          <w:szCs w:val="24"/>
        </w:rPr>
        <w:t>Metode</w:t>
      </w:r>
      <w:proofErr w:type="spellEnd"/>
      <w:r w:rsidRPr="00CE2E19">
        <w:rPr>
          <w:rFonts w:ascii="Garamond" w:hAnsi="Garamond"/>
          <w:sz w:val="24"/>
          <w:szCs w:val="24"/>
        </w:rPr>
        <w:t xml:space="preserve"> </w:t>
      </w:r>
      <w:proofErr w:type="spellStart"/>
      <w:r w:rsidRPr="00CE2E19">
        <w:rPr>
          <w:rFonts w:ascii="Garamond" w:hAnsi="Garamond"/>
          <w:sz w:val="24"/>
          <w:szCs w:val="24"/>
        </w:rPr>
        <w:t>penelitian</w:t>
      </w:r>
      <w:proofErr w:type="spellEnd"/>
      <w:r w:rsidRPr="00CE2E19">
        <w:rPr>
          <w:rFonts w:ascii="Garamond" w:hAnsi="Garamond"/>
          <w:sz w:val="24"/>
          <w:szCs w:val="24"/>
        </w:rPr>
        <w:t xml:space="preserve"> </w:t>
      </w:r>
      <w:proofErr w:type="spellStart"/>
      <w:r w:rsidRPr="00CE2E19">
        <w:rPr>
          <w:rFonts w:ascii="Garamond" w:hAnsi="Garamond"/>
          <w:sz w:val="24"/>
          <w:szCs w:val="24"/>
        </w:rPr>
        <w:t>kuantitatif</w:t>
      </w:r>
      <w:proofErr w:type="spellEnd"/>
      <w:r w:rsidRPr="00CE2E19">
        <w:rPr>
          <w:rFonts w:ascii="Garamond" w:hAnsi="Garamond"/>
          <w:sz w:val="24"/>
          <w:szCs w:val="24"/>
        </w:rPr>
        <w:t xml:space="preserve">, </w:t>
      </w:r>
      <w:proofErr w:type="spellStart"/>
      <w:r w:rsidRPr="00CE2E19">
        <w:rPr>
          <w:rFonts w:ascii="Garamond" w:hAnsi="Garamond"/>
          <w:sz w:val="24"/>
          <w:szCs w:val="24"/>
        </w:rPr>
        <w:t>kualitatif</w:t>
      </w:r>
      <w:proofErr w:type="spellEnd"/>
      <w:r w:rsidRPr="00CE2E19">
        <w:rPr>
          <w:rFonts w:ascii="Garamond" w:hAnsi="Garamond"/>
          <w:sz w:val="24"/>
          <w:szCs w:val="24"/>
        </w:rPr>
        <w:t xml:space="preserve">, dan R&amp;D (Ed. 2). </w:t>
      </w:r>
      <w:proofErr w:type="spellStart"/>
      <w:r w:rsidRPr="00CE2E19">
        <w:rPr>
          <w:rFonts w:ascii="Garamond" w:hAnsi="Garamond"/>
          <w:sz w:val="24"/>
          <w:szCs w:val="24"/>
        </w:rPr>
        <w:t>Alfabeta</w:t>
      </w:r>
      <w:proofErr w:type="spellEnd"/>
      <w:r w:rsidRPr="00CE2E19">
        <w:rPr>
          <w:rFonts w:ascii="Garamond" w:hAnsi="Garamond"/>
          <w:sz w:val="24"/>
          <w:szCs w:val="24"/>
        </w:rPr>
        <w:t>.</w:t>
      </w:r>
    </w:p>
    <w:p w14:paraId="4037750F" w14:textId="77777777" w:rsidR="00CE2E19" w:rsidRPr="00CE2E19" w:rsidRDefault="00CE2E19" w:rsidP="00CE2E19">
      <w:pPr>
        <w:pStyle w:val="NoSpacing"/>
        <w:spacing w:line="276" w:lineRule="auto"/>
        <w:ind w:left="567" w:hanging="567"/>
        <w:jc w:val="both"/>
        <w:rPr>
          <w:rFonts w:ascii="Garamond" w:hAnsi="Garamond"/>
          <w:sz w:val="24"/>
          <w:szCs w:val="24"/>
        </w:rPr>
      </w:pPr>
      <w:proofErr w:type="spellStart"/>
      <w:r w:rsidRPr="00CE2E19">
        <w:rPr>
          <w:rFonts w:ascii="Garamond" w:hAnsi="Garamond"/>
          <w:sz w:val="24"/>
          <w:szCs w:val="24"/>
        </w:rPr>
        <w:t>Syafi'i</w:t>
      </w:r>
      <w:proofErr w:type="spellEnd"/>
      <w:r w:rsidRPr="00CE2E19">
        <w:rPr>
          <w:rFonts w:ascii="Garamond" w:hAnsi="Garamond"/>
          <w:sz w:val="24"/>
          <w:szCs w:val="24"/>
        </w:rPr>
        <w:t xml:space="preserve">, M. I., </w:t>
      </w:r>
      <w:proofErr w:type="spellStart"/>
      <w:r w:rsidRPr="00CE2E19">
        <w:rPr>
          <w:rFonts w:ascii="Garamond" w:hAnsi="Garamond"/>
          <w:sz w:val="24"/>
          <w:szCs w:val="24"/>
        </w:rPr>
        <w:t>Mubarok</w:t>
      </w:r>
      <w:proofErr w:type="spellEnd"/>
      <w:r w:rsidRPr="00CE2E19">
        <w:rPr>
          <w:rFonts w:ascii="Garamond" w:hAnsi="Garamond"/>
          <w:sz w:val="24"/>
          <w:szCs w:val="24"/>
        </w:rPr>
        <w:t xml:space="preserve">, R., &amp; Yuliana, Y. (2024). Strategi </w:t>
      </w:r>
      <w:proofErr w:type="spellStart"/>
      <w:r w:rsidRPr="00CE2E19">
        <w:rPr>
          <w:rFonts w:ascii="Garamond" w:hAnsi="Garamond"/>
          <w:sz w:val="24"/>
          <w:szCs w:val="24"/>
        </w:rPr>
        <w:t>pembiasaan</w:t>
      </w:r>
      <w:proofErr w:type="spellEnd"/>
      <w:r w:rsidRPr="00CE2E19">
        <w:rPr>
          <w:rFonts w:ascii="Garamond" w:hAnsi="Garamond"/>
          <w:sz w:val="24"/>
          <w:szCs w:val="24"/>
        </w:rPr>
        <w:t xml:space="preserve"> </w:t>
      </w:r>
      <w:proofErr w:type="spellStart"/>
      <w:r w:rsidRPr="00CE2E19">
        <w:rPr>
          <w:rFonts w:ascii="Garamond" w:hAnsi="Garamond"/>
          <w:sz w:val="24"/>
          <w:szCs w:val="24"/>
        </w:rPr>
        <w:t>akhlak</w:t>
      </w:r>
      <w:proofErr w:type="spellEnd"/>
      <w:r w:rsidRPr="00CE2E19">
        <w:rPr>
          <w:rFonts w:ascii="Garamond" w:hAnsi="Garamond"/>
          <w:sz w:val="24"/>
          <w:szCs w:val="24"/>
        </w:rPr>
        <w:t xml:space="preserve"> </w:t>
      </w:r>
      <w:proofErr w:type="spellStart"/>
      <w:r w:rsidRPr="00CE2E19">
        <w:rPr>
          <w:rFonts w:ascii="Garamond" w:hAnsi="Garamond"/>
          <w:sz w:val="24"/>
          <w:szCs w:val="24"/>
        </w:rPr>
        <w:t>terpuji</w:t>
      </w:r>
      <w:proofErr w:type="spellEnd"/>
      <w:r w:rsidRPr="00CE2E19">
        <w:rPr>
          <w:rFonts w:ascii="Garamond" w:hAnsi="Garamond"/>
          <w:sz w:val="24"/>
          <w:szCs w:val="24"/>
        </w:rPr>
        <w:t xml:space="preserve"> </w:t>
      </w:r>
      <w:proofErr w:type="spellStart"/>
      <w:r w:rsidRPr="00CE2E19">
        <w:rPr>
          <w:rFonts w:ascii="Garamond" w:hAnsi="Garamond"/>
          <w:sz w:val="24"/>
          <w:szCs w:val="24"/>
        </w:rPr>
        <w:t>melalui</w:t>
      </w:r>
      <w:proofErr w:type="spellEnd"/>
      <w:r w:rsidRPr="00CE2E19">
        <w:rPr>
          <w:rFonts w:ascii="Garamond" w:hAnsi="Garamond"/>
          <w:sz w:val="24"/>
          <w:szCs w:val="24"/>
        </w:rPr>
        <w:t xml:space="preserve"> </w:t>
      </w:r>
      <w:proofErr w:type="spellStart"/>
      <w:r w:rsidRPr="00CE2E19">
        <w:rPr>
          <w:rFonts w:ascii="Garamond" w:hAnsi="Garamond"/>
          <w:sz w:val="24"/>
          <w:szCs w:val="24"/>
        </w:rPr>
        <w:t>mata</w:t>
      </w:r>
      <w:proofErr w:type="spellEnd"/>
      <w:r w:rsidRPr="00CE2E19">
        <w:rPr>
          <w:rFonts w:ascii="Garamond" w:hAnsi="Garamond"/>
          <w:sz w:val="24"/>
          <w:szCs w:val="24"/>
        </w:rPr>
        <w:t xml:space="preserve"> </w:t>
      </w:r>
      <w:proofErr w:type="spellStart"/>
      <w:r w:rsidRPr="00CE2E19">
        <w:rPr>
          <w:rFonts w:ascii="Garamond" w:hAnsi="Garamond"/>
          <w:sz w:val="24"/>
          <w:szCs w:val="24"/>
        </w:rPr>
        <w:t>pelajaran</w:t>
      </w:r>
      <w:proofErr w:type="spellEnd"/>
      <w:r w:rsidRPr="00CE2E19">
        <w:rPr>
          <w:rFonts w:ascii="Garamond" w:hAnsi="Garamond"/>
          <w:sz w:val="24"/>
          <w:szCs w:val="24"/>
        </w:rPr>
        <w:t xml:space="preserve"> </w:t>
      </w:r>
      <w:proofErr w:type="spellStart"/>
      <w:r w:rsidRPr="00CE2E19">
        <w:rPr>
          <w:rFonts w:ascii="Garamond" w:hAnsi="Garamond"/>
          <w:sz w:val="24"/>
          <w:szCs w:val="24"/>
        </w:rPr>
        <w:t>Akidah</w:t>
      </w:r>
      <w:proofErr w:type="spellEnd"/>
      <w:r w:rsidRPr="00CE2E19">
        <w:rPr>
          <w:rFonts w:ascii="Garamond" w:hAnsi="Garamond"/>
          <w:sz w:val="24"/>
          <w:szCs w:val="24"/>
        </w:rPr>
        <w:t xml:space="preserve"> </w:t>
      </w:r>
      <w:proofErr w:type="spellStart"/>
      <w:r w:rsidRPr="00CE2E19">
        <w:rPr>
          <w:rFonts w:ascii="Garamond" w:hAnsi="Garamond"/>
          <w:sz w:val="24"/>
          <w:szCs w:val="24"/>
        </w:rPr>
        <w:t>Akhlak</w:t>
      </w:r>
      <w:proofErr w:type="spellEnd"/>
      <w:r w:rsidRPr="00CE2E19">
        <w:rPr>
          <w:rFonts w:ascii="Garamond" w:hAnsi="Garamond"/>
          <w:sz w:val="24"/>
          <w:szCs w:val="24"/>
        </w:rPr>
        <w:t xml:space="preserve"> di Madrasah </w:t>
      </w:r>
      <w:proofErr w:type="spellStart"/>
      <w:r w:rsidRPr="00CE2E19">
        <w:rPr>
          <w:rFonts w:ascii="Garamond" w:hAnsi="Garamond"/>
          <w:sz w:val="24"/>
          <w:szCs w:val="24"/>
        </w:rPr>
        <w:t>Ibtidaiyah</w:t>
      </w:r>
      <w:proofErr w:type="spellEnd"/>
      <w:r w:rsidRPr="00CE2E19">
        <w:rPr>
          <w:rFonts w:ascii="Garamond" w:hAnsi="Garamond"/>
          <w:sz w:val="24"/>
          <w:szCs w:val="24"/>
        </w:rPr>
        <w:t xml:space="preserve">. </w:t>
      </w:r>
      <w:proofErr w:type="spellStart"/>
      <w:r w:rsidRPr="00CE2E19">
        <w:rPr>
          <w:rFonts w:ascii="Garamond" w:hAnsi="Garamond"/>
          <w:sz w:val="24"/>
          <w:szCs w:val="24"/>
        </w:rPr>
        <w:t>Jurnal</w:t>
      </w:r>
      <w:proofErr w:type="spellEnd"/>
      <w:r w:rsidRPr="00CE2E19">
        <w:rPr>
          <w:rFonts w:ascii="Garamond" w:hAnsi="Garamond"/>
          <w:sz w:val="24"/>
          <w:szCs w:val="24"/>
        </w:rPr>
        <w:t xml:space="preserve"> Pendidikan Dasar dan </w:t>
      </w:r>
      <w:proofErr w:type="spellStart"/>
      <w:r w:rsidRPr="00CE2E19">
        <w:rPr>
          <w:rFonts w:ascii="Garamond" w:hAnsi="Garamond"/>
          <w:sz w:val="24"/>
          <w:szCs w:val="24"/>
        </w:rPr>
        <w:t>Keguruan</w:t>
      </w:r>
      <w:proofErr w:type="spellEnd"/>
      <w:r w:rsidRPr="00CE2E19">
        <w:rPr>
          <w:rFonts w:ascii="Garamond" w:hAnsi="Garamond"/>
          <w:sz w:val="24"/>
          <w:szCs w:val="24"/>
        </w:rPr>
        <w:t xml:space="preserve">, 9(1), 1–11. </w:t>
      </w:r>
      <w:hyperlink r:id="rId45" w:history="1">
        <w:r w:rsidRPr="00CE2E19">
          <w:rPr>
            <w:rStyle w:val="Hyperlink"/>
            <w:rFonts w:ascii="Garamond" w:hAnsi="Garamond"/>
            <w:sz w:val="24"/>
            <w:szCs w:val="24"/>
          </w:rPr>
          <w:t>https://doi.org/10.47435/jpdk.v9i1.2612</w:t>
        </w:r>
      </w:hyperlink>
    </w:p>
    <w:p w14:paraId="2A928E00" w14:textId="77777777" w:rsidR="00CE2E19" w:rsidRPr="00CE2E19" w:rsidRDefault="00CE2E19" w:rsidP="00CE2E19">
      <w:pPr>
        <w:pStyle w:val="NoSpacing"/>
        <w:spacing w:line="276" w:lineRule="auto"/>
        <w:ind w:left="567" w:hanging="567"/>
        <w:jc w:val="both"/>
        <w:rPr>
          <w:rFonts w:ascii="Garamond" w:hAnsi="Garamond"/>
          <w:sz w:val="24"/>
          <w:szCs w:val="24"/>
        </w:rPr>
      </w:pPr>
      <w:r w:rsidRPr="00CE2E19">
        <w:rPr>
          <w:rFonts w:ascii="Garamond" w:hAnsi="Garamond"/>
          <w:sz w:val="24"/>
          <w:szCs w:val="24"/>
        </w:rPr>
        <w:t>Wahab, [initials to be verified]. (2025). Towards integration: A three-dimensional approach to moral education in the philosophies of al-</w:t>
      </w:r>
      <w:proofErr w:type="spellStart"/>
      <w:r w:rsidRPr="00CE2E19">
        <w:rPr>
          <w:rFonts w:ascii="Garamond" w:hAnsi="Garamond"/>
          <w:sz w:val="24"/>
          <w:szCs w:val="24"/>
        </w:rPr>
        <w:t>Ghazālī</w:t>
      </w:r>
      <w:proofErr w:type="spellEnd"/>
      <w:r w:rsidRPr="00CE2E19">
        <w:rPr>
          <w:rFonts w:ascii="Garamond" w:hAnsi="Garamond"/>
          <w:sz w:val="24"/>
          <w:szCs w:val="24"/>
        </w:rPr>
        <w:t xml:space="preserve"> and Kant. Journal of Islamic Ethics, 9(1–2), 205–227. </w:t>
      </w:r>
      <w:hyperlink r:id="rId46" w:history="1">
        <w:r w:rsidRPr="00CE2E19">
          <w:rPr>
            <w:rStyle w:val="Hyperlink"/>
            <w:rFonts w:ascii="Garamond" w:hAnsi="Garamond"/>
            <w:sz w:val="24"/>
            <w:szCs w:val="24"/>
          </w:rPr>
          <w:t>https://doi.org/10.1163/24685542-20250006</w:t>
        </w:r>
      </w:hyperlink>
    </w:p>
    <w:p w14:paraId="535E6FC3" w14:textId="77777777" w:rsidR="00CE2E19" w:rsidRPr="00CE2E19" w:rsidRDefault="00CE2E19" w:rsidP="00CE2E19">
      <w:pPr>
        <w:pStyle w:val="NoSpacing"/>
        <w:spacing w:line="276" w:lineRule="auto"/>
        <w:ind w:left="567" w:hanging="567"/>
        <w:jc w:val="both"/>
        <w:rPr>
          <w:rFonts w:ascii="Garamond" w:hAnsi="Garamond"/>
          <w:sz w:val="24"/>
          <w:szCs w:val="24"/>
        </w:rPr>
      </w:pPr>
      <w:r w:rsidRPr="00CE2E19">
        <w:rPr>
          <w:rFonts w:ascii="Garamond" w:hAnsi="Garamond"/>
          <w:sz w:val="24"/>
          <w:szCs w:val="24"/>
        </w:rPr>
        <w:t>Yin, R. K. (2018). Case study research and applications: Design and methods (6th ed.). SAGE Publications.</w:t>
      </w:r>
    </w:p>
    <w:p w14:paraId="68F27CE8" w14:textId="77777777" w:rsidR="00CE2E19" w:rsidRPr="00CE2E19" w:rsidRDefault="00CE2E19" w:rsidP="00CE2E19">
      <w:pPr>
        <w:pStyle w:val="NoSpacing"/>
        <w:spacing w:line="276" w:lineRule="auto"/>
        <w:ind w:left="567" w:hanging="567"/>
        <w:jc w:val="both"/>
        <w:rPr>
          <w:rFonts w:ascii="Garamond" w:hAnsi="Garamond"/>
          <w:sz w:val="24"/>
          <w:szCs w:val="24"/>
        </w:rPr>
      </w:pPr>
      <w:r w:rsidRPr="00CE2E19">
        <w:rPr>
          <w:rFonts w:ascii="Garamond" w:hAnsi="Garamond"/>
          <w:sz w:val="24"/>
          <w:szCs w:val="24"/>
        </w:rPr>
        <w:t xml:space="preserve">Zed, M. (2018). </w:t>
      </w:r>
      <w:proofErr w:type="spellStart"/>
      <w:r w:rsidRPr="00CE2E19">
        <w:rPr>
          <w:rFonts w:ascii="Garamond" w:hAnsi="Garamond"/>
          <w:sz w:val="24"/>
          <w:szCs w:val="24"/>
        </w:rPr>
        <w:t>Metode</w:t>
      </w:r>
      <w:proofErr w:type="spellEnd"/>
      <w:r w:rsidRPr="00CE2E19">
        <w:rPr>
          <w:rFonts w:ascii="Garamond" w:hAnsi="Garamond"/>
          <w:sz w:val="24"/>
          <w:szCs w:val="24"/>
        </w:rPr>
        <w:t xml:space="preserve"> </w:t>
      </w:r>
      <w:proofErr w:type="spellStart"/>
      <w:r w:rsidRPr="00CE2E19">
        <w:rPr>
          <w:rFonts w:ascii="Garamond" w:hAnsi="Garamond"/>
          <w:sz w:val="24"/>
          <w:szCs w:val="24"/>
        </w:rPr>
        <w:t>penelitian</w:t>
      </w:r>
      <w:proofErr w:type="spellEnd"/>
      <w:r w:rsidRPr="00CE2E19">
        <w:rPr>
          <w:rFonts w:ascii="Garamond" w:hAnsi="Garamond"/>
          <w:sz w:val="24"/>
          <w:szCs w:val="24"/>
        </w:rPr>
        <w:t xml:space="preserve"> </w:t>
      </w:r>
      <w:proofErr w:type="spellStart"/>
      <w:r w:rsidRPr="00CE2E19">
        <w:rPr>
          <w:rFonts w:ascii="Garamond" w:hAnsi="Garamond"/>
          <w:sz w:val="24"/>
          <w:szCs w:val="24"/>
        </w:rPr>
        <w:t>kepustakaan</w:t>
      </w:r>
      <w:proofErr w:type="spellEnd"/>
      <w:r w:rsidRPr="00CE2E19">
        <w:rPr>
          <w:rFonts w:ascii="Garamond" w:hAnsi="Garamond"/>
          <w:sz w:val="24"/>
          <w:szCs w:val="24"/>
        </w:rPr>
        <w:t xml:space="preserve">. Yayasan Pustaka </w:t>
      </w:r>
      <w:proofErr w:type="spellStart"/>
      <w:r w:rsidRPr="00CE2E19">
        <w:rPr>
          <w:rFonts w:ascii="Garamond" w:hAnsi="Garamond"/>
          <w:sz w:val="24"/>
          <w:szCs w:val="24"/>
        </w:rPr>
        <w:t>Obor</w:t>
      </w:r>
      <w:proofErr w:type="spellEnd"/>
      <w:r w:rsidRPr="00CE2E19">
        <w:rPr>
          <w:rFonts w:ascii="Garamond" w:hAnsi="Garamond"/>
          <w:sz w:val="24"/>
          <w:szCs w:val="24"/>
        </w:rPr>
        <w:t xml:space="preserve"> Indonesia.</w:t>
      </w:r>
    </w:p>
    <w:p w14:paraId="2C54E1FE" w14:textId="77777777" w:rsidR="001C1B50" w:rsidRDefault="001C1B50" w:rsidP="00CE2E19">
      <w:pPr>
        <w:pStyle w:val="NormalWeb"/>
        <w:rPr>
          <w:rFonts w:ascii="Garamond" w:hAnsi="Garamond"/>
          <w:b/>
          <w:bCs/>
        </w:rPr>
      </w:pPr>
    </w:p>
    <w:sectPr w:rsidR="001C1B50" w:rsidSect="00803D34">
      <w:headerReference w:type="even" r:id="rId47"/>
      <w:headerReference w:type="default" r:id="rId48"/>
      <w:footerReference w:type="even" r:id="rId49"/>
      <w:footerReference w:type="default" r:id="rId50"/>
      <w:type w:val="continuous"/>
      <w:pgSz w:w="11920" w:h="16840"/>
      <w:pgMar w:top="1080" w:right="1288" w:bottom="1080" w:left="1418" w:header="619" w:footer="677" w:gutter="0"/>
      <w:pgNumType w:start="308"/>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84A65" w14:textId="77777777" w:rsidR="00572A7D" w:rsidRDefault="00572A7D" w:rsidP="002B57B5">
      <w:pPr>
        <w:spacing w:after="0" w:line="240" w:lineRule="auto"/>
      </w:pPr>
      <w:r>
        <w:separator/>
      </w:r>
    </w:p>
  </w:endnote>
  <w:endnote w:type="continuationSeparator" w:id="0">
    <w:p w14:paraId="219B1A60" w14:textId="77777777" w:rsidR="00572A7D" w:rsidRDefault="00572A7D" w:rsidP="002B5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rdia New">
    <w:altName w:val="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OpenSans">
    <w:altName w:val="Times New Roman"/>
    <w:panose1 w:val="00000000000000000000"/>
    <w:charset w:val="00"/>
    <w:family w:val="roman"/>
    <w:notTrueType/>
    <w:pitch w:val="default"/>
  </w:font>
  <w:font w:name="Wingdings-Regular">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272167"/>
      <w:docPartObj>
        <w:docPartGallery w:val="Page Numbers (Bottom of Page)"/>
        <w:docPartUnique/>
      </w:docPartObj>
    </w:sdtPr>
    <w:sdtEndPr>
      <w:rPr>
        <w:noProof/>
      </w:rPr>
    </w:sdtEndPr>
    <w:sdtContent>
      <w:p w14:paraId="24302799" w14:textId="77777777" w:rsidR="001430D0" w:rsidRDefault="001430D0">
        <w:pPr>
          <w:pStyle w:val="Footer"/>
          <w:jc w:val="right"/>
        </w:pPr>
        <w:r>
          <w:fldChar w:fldCharType="begin"/>
        </w:r>
        <w:r>
          <w:instrText xml:space="preserve"> PAGE   \* MERGEFORMAT </w:instrText>
        </w:r>
        <w:r>
          <w:fldChar w:fldCharType="separate"/>
        </w:r>
        <w:r w:rsidR="005E09AB">
          <w:rPr>
            <w:noProof/>
          </w:rPr>
          <w:t>2</w:t>
        </w:r>
        <w:r>
          <w:rPr>
            <w:noProof/>
          </w:rPr>
          <w:fldChar w:fldCharType="end"/>
        </w:r>
      </w:p>
    </w:sdtContent>
  </w:sdt>
  <w:p w14:paraId="666BDFB0" w14:textId="3D30C05D" w:rsidR="001430D0" w:rsidRPr="004E1BC1" w:rsidRDefault="001430D0" w:rsidP="004E1BC1">
    <w:pPr>
      <w:pStyle w:val="Footer"/>
      <w:jc w:val="center"/>
      <w:rPr>
        <w:rFonts w:ascii="Garamond" w:hAnsi="Garamond"/>
        <w:sz w:val="24"/>
        <w:szCs w:val="24"/>
      </w:rPr>
    </w:pPr>
    <w:r w:rsidRPr="004E1BC1">
      <w:rPr>
        <w:rFonts w:ascii="Garamond" w:hAnsi="Garamond"/>
        <w:sz w:val="24"/>
        <w:szCs w:val="24"/>
      </w:rPr>
      <w:t>V</w:t>
    </w:r>
    <w:r>
      <w:rPr>
        <w:rFonts w:ascii="Garamond" w:hAnsi="Garamond"/>
        <w:sz w:val="24"/>
        <w:szCs w:val="24"/>
      </w:rPr>
      <w:t>o</w:t>
    </w:r>
    <w:r w:rsidR="00E00853">
      <w:rPr>
        <w:rFonts w:ascii="Garamond" w:hAnsi="Garamond"/>
        <w:sz w:val="24"/>
        <w:szCs w:val="24"/>
      </w:rPr>
      <w:t xml:space="preserve">lume </w:t>
    </w:r>
    <w:r w:rsidR="009C2184">
      <w:rPr>
        <w:rFonts w:ascii="Garamond" w:hAnsi="Garamond"/>
        <w:sz w:val="24"/>
        <w:szCs w:val="24"/>
      </w:rPr>
      <w:t>2</w:t>
    </w:r>
    <w:r w:rsidR="00E00853">
      <w:rPr>
        <w:rFonts w:ascii="Garamond" w:hAnsi="Garamond"/>
        <w:sz w:val="24"/>
        <w:szCs w:val="24"/>
      </w:rPr>
      <w:t xml:space="preserve">, Issue </w:t>
    </w:r>
    <w:r w:rsidR="00032D3F">
      <w:rPr>
        <w:rFonts w:ascii="Garamond" w:hAnsi="Garamond"/>
        <w:sz w:val="24"/>
        <w:szCs w:val="24"/>
      </w:rPr>
      <w:t>4</w:t>
    </w:r>
    <w:r w:rsidR="00E00853">
      <w:rPr>
        <w:rFonts w:ascii="Garamond" w:hAnsi="Garamond"/>
        <w:sz w:val="24"/>
        <w:szCs w:val="24"/>
      </w:rPr>
      <w:t xml:space="preserve">, </w:t>
    </w:r>
    <w:r w:rsidR="00032D3F">
      <w:rPr>
        <w:rFonts w:ascii="Garamond" w:hAnsi="Garamond"/>
        <w:sz w:val="24"/>
        <w:szCs w:val="24"/>
      </w:rPr>
      <w:t>October</w:t>
    </w:r>
    <w:r w:rsidR="00E00853">
      <w:rPr>
        <w:rFonts w:ascii="Garamond" w:hAnsi="Garamond"/>
        <w:sz w:val="24"/>
        <w:szCs w:val="24"/>
      </w:rPr>
      <w:t xml:space="preserve"> 2026, </w:t>
    </w:r>
    <w:r w:rsidR="00803D34">
      <w:rPr>
        <w:rFonts w:ascii="Garamond" w:hAnsi="Garamond"/>
        <w:sz w:val="24"/>
        <w:szCs w:val="24"/>
      </w:rPr>
      <w:t>308</w:t>
    </w:r>
    <w:r w:rsidR="00E00853">
      <w:rPr>
        <w:rFonts w:ascii="Garamond" w:hAnsi="Garamond"/>
        <w:sz w:val="24"/>
        <w:szCs w:val="24"/>
      </w:rPr>
      <w:t>-</w:t>
    </w:r>
    <w:r w:rsidR="00803D34">
      <w:rPr>
        <w:rFonts w:ascii="Garamond" w:hAnsi="Garamond"/>
        <w:sz w:val="24"/>
        <w:szCs w:val="24"/>
      </w:rPr>
      <w:t>338</w:t>
    </w:r>
  </w:p>
  <w:p w14:paraId="53714B3D" w14:textId="77777777" w:rsidR="001430D0" w:rsidRPr="00FD75D7" w:rsidRDefault="001430D0" w:rsidP="00BF437E">
    <w:pPr>
      <w:pStyle w:val="Footer"/>
      <w:jc w:val="center"/>
      <w:rPr>
        <w:rFonts w:ascii="Garamond" w:hAnsi="Garamond"/>
        <w:sz w:val="24"/>
        <w:szCs w:val="24"/>
      </w:rPr>
    </w:pPr>
    <w:r>
      <w:rPr>
        <w:rFonts w:ascii="Garamond" w:hAnsi="Garamond"/>
        <w:sz w:val="24"/>
        <w:szCs w:val="24"/>
      </w:rPr>
      <w:t xml:space="preserve">E-ISSN </w:t>
    </w:r>
    <w:r w:rsidRPr="00BF437E">
      <w:rPr>
        <w:rFonts w:ascii="Garamond" w:hAnsi="Garamond"/>
        <w:sz w:val="24"/>
        <w:szCs w:val="24"/>
      </w:rPr>
      <w:t>3064-5379</w:t>
    </w:r>
  </w:p>
  <w:p w14:paraId="3C603701" w14:textId="77777777" w:rsidR="001430D0" w:rsidRDefault="001430D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8484591"/>
      <w:docPartObj>
        <w:docPartGallery w:val="Page Numbers (Bottom of Page)"/>
        <w:docPartUnique/>
      </w:docPartObj>
    </w:sdtPr>
    <w:sdtEndPr>
      <w:rPr>
        <w:noProof/>
      </w:rPr>
    </w:sdtEndPr>
    <w:sdtContent>
      <w:p w14:paraId="576C5A9F" w14:textId="77777777" w:rsidR="001430D0" w:rsidRDefault="001430D0">
        <w:pPr>
          <w:pStyle w:val="Footer"/>
          <w:jc w:val="right"/>
        </w:pPr>
        <w:r>
          <w:fldChar w:fldCharType="begin"/>
        </w:r>
        <w:r>
          <w:instrText xml:space="preserve"> PAGE   \* MERGEFORMAT </w:instrText>
        </w:r>
        <w:r>
          <w:fldChar w:fldCharType="separate"/>
        </w:r>
        <w:r w:rsidR="005E09AB">
          <w:rPr>
            <w:noProof/>
          </w:rPr>
          <w:t>1</w:t>
        </w:r>
        <w:r>
          <w:rPr>
            <w:noProof/>
          </w:rPr>
          <w:fldChar w:fldCharType="end"/>
        </w:r>
      </w:p>
    </w:sdtContent>
  </w:sdt>
  <w:p w14:paraId="72DD5C60" w14:textId="77777777" w:rsidR="001430D0" w:rsidRPr="002B57B5" w:rsidRDefault="001430D0" w:rsidP="004E1BC1">
    <w:pPr>
      <w:pStyle w:val="Footer"/>
      <w:jc w:val="center"/>
      <w:rPr>
        <w:rFonts w:ascii="Garamond" w:hAnsi="Garamond"/>
        <w:sz w:val="24"/>
        <w:szCs w:val="24"/>
      </w:rPr>
    </w:pPr>
  </w:p>
  <w:p w14:paraId="312DCE2E" w14:textId="77777777" w:rsidR="001430D0" w:rsidRDefault="001430D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721E7" w14:textId="77777777" w:rsidR="00572A7D" w:rsidRDefault="00572A7D" w:rsidP="002B57B5">
      <w:pPr>
        <w:spacing w:after="0" w:line="240" w:lineRule="auto"/>
      </w:pPr>
      <w:r>
        <w:separator/>
      </w:r>
    </w:p>
  </w:footnote>
  <w:footnote w:type="continuationSeparator" w:id="0">
    <w:p w14:paraId="010D36B6" w14:textId="77777777" w:rsidR="00572A7D" w:rsidRDefault="00572A7D" w:rsidP="002B57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1FAB0" w14:textId="6EA23A62" w:rsidR="001430D0" w:rsidRPr="00DA3E9D" w:rsidRDefault="00DA3E9D" w:rsidP="00DA3E9D">
    <w:pPr>
      <w:pStyle w:val="Header"/>
    </w:pPr>
    <w:bookmarkStart w:id="0" w:name="_Hlk243938563"/>
    <w:bookmarkStart w:id="1" w:name="_Hlk243938564"/>
    <w:r w:rsidRPr="00DA3E9D">
      <w:rPr>
        <w:rFonts w:ascii="Garamond" w:hAnsi="Garamond"/>
        <w:sz w:val="20"/>
        <w:szCs w:val="20"/>
      </w:rPr>
      <w:t xml:space="preserve">Muhammad </w:t>
    </w:r>
    <w:proofErr w:type="spellStart"/>
    <w:r w:rsidRPr="00DA3E9D">
      <w:rPr>
        <w:rFonts w:ascii="Garamond" w:hAnsi="Garamond"/>
        <w:sz w:val="20"/>
        <w:szCs w:val="20"/>
      </w:rPr>
      <w:t>Zainul</w:t>
    </w:r>
    <w:proofErr w:type="spellEnd"/>
    <w:r w:rsidRPr="00DA3E9D">
      <w:rPr>
        <w:rFonts w:ascii="Garamond" w:hAnsi="Garamond"/>
        <w:sz w:val="20"/>
        <w:szCs w:val="20"/>
      </w:rPr>
      <w:t xml:space="preserve"> </w:t>
    </w:r>
    <w:proofErr w:type="spellStart"/>
    <w:r w:rsidRPr="00DA3E9D">
      <w:rPr>
        <w:rFonts w:ascii="Garamond" w:hAnsi="Garamond"/>
        <w:sz w:val="20"/>
        <w:szCs w:val="20"/>
      </w:rPr>
      <w:t>Ansori</w:t>
    </w:r>
    <w:proofErr w:type="spellEnd"/>
    <w:r w:rsidRPr="00DA3E9D">
      <w:rPr>
        <w:rFonts w:ascii="Garamond" w:hAnsi="Garamond"/>
        <w:sz w:val="20"/>
        <w:szCs w:val="20"/>
      </w:rPr>
      <w:t xml:space="preserve">, </w:t>
    </w:r>
    <w:proofErr w:type="spellStart"/>
    <w:r w:rsidRPr="00DA3E9D">
      <w:rPr>
        <w:rFonts w:ascii="Garamond" w:hAnsi="Garamond"/>
        <w:sz w:val="20"/>
        <w:szCs w:val="20"/>
      </w:rPr>
      <w:t>Sapril</w:t>
    </w:r>
    <w:bookmarkEnd w:id="0"/>
    <w:bookmarkEnd w:id="1"/>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3A11A" w14:textId="35B275DF" w:rsidR="001430D0" w:rsidRPr="00DA3E9D" w:rsidRDefault="00DA3E9D" w:rsidP="00DA3E9D">
    <w:pPr>
      <w:pStyle w:val="Header"/>
    </w:pPr>
    <w:r w:rsidRPr="00DA3E9D">
      <w:rPr>
        <w:rFonts w:ascii="Garamond" w:hAnsi="Garamond"/>
        <w:sz w:val="20"/>
        <w:szCs w:val="20"/>
      </w:rPr>
      <w:t xml:space="preserve">Muhammad </w:t>
    </w:r>
    <w:proofErr w:type="spellStart"/>
    <w:r w:rsidRPr="00DA3E9D">
      <w:rPr>
        <w:rFonts w:ascii="Garamond" w:hAnsi="Garamond"/>
        <w:sz w:val="20"/>
        <w:szCs w:val="20"/>
      </w:rPr>
      <w:t>Zainul</w:t>
    </w:r>
    <w:proofErr w:type="spellEnd"/>
    <w:r w:rsidRPr="00DA3E9D">
      <w:rPr>
        <w:rFonts w:ascii="Garamond" w:hAnsi="Garamond"/>
        <w:sz w:val="20"/>
        <w:szCs w:val="20"/>
      </w:rPr>
      <w:t xml:space="preserve"> </w:t>
    </w:r>
    <w:proofErr w:type="spellStart"/>
    <w:r w:rsidRPr="00DA3E9D">
      <w:rPr>
        <w:rFonts w:ascii="Garamond" w:hAnsi="Garamond"/>
        <w:sz w:val="20"/>
        <w:szCs w:val="20"/>
      </w:rPr>
      <w:t>Ansori</w:t>
    </w:r>
    <w:proofErr w:type="spellEnd"/>
    <w:r w:rsidRPr="00DA3E9D">
      <w:rPr>
        <w:rFonts w:ascii="Garamond" w:hAnsi="Garamond"/>
        <w:sz w:val="20"/>
        <w:szCs w:val="20"/>
      </w:rPr>
      <w:t xml:space="preserve">, </w:t>
    </w:r>
    <w:proofErr w:type="spellStart"/>
    <w:r w:rsidRPr="00DA3E9D">
      <w:rPr>
        <w:rFonts w:ascii="Garamond" w:hAnsi="Garamond"/>
        <w:sz w:val="20"/>
        <w:szCs w:val="20"/>
      </w:rPr>
      <w:t>Sapril</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852BD"/>
    <w:multiLevelType w:val="hybridMultilevel"/>
    <w:tmpl w:val="C75811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036CB8"/>
    <w:multiLevelType w:val="hybridMultilevel"/>
    <w:tmpl w:val="A77830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B21E9"/>
    <w:multiLevelType w:val="hybridMultilevel"/>
    <w:tmpl w:val="A77830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C545C"/>
    <w:multiLevelType w:val="hybridMultilevel"/>
    <w:tmpl w:val="0BEE03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C30545"/>
    <w:multiLevelType w:val="hybridMultilevel"/>
    <w:tmpl w:val="94748D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6E295F"/>
    <w:multiLevelType w:val="hybridMultilevel"/>
    <w:tmpl w:val="0BEE03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2"/>
  </w:num>
  <w:num w:numId="5">
    <w:abstractNumId w:val="3"/>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3A53"/>
    <w:rsid w:val="000010EE"/>
    <w:rsid w:val="00001758"/>
    <w:rsid w:val="0000694B"/>
    <w:rsid w:val="000073BF"/>
    <w:rsid w:val="00007F30"/>
    <w:rsid w:val="00023220"/>
    <w:rsid w:val="000263DD"/>
    <w:rsid w:val="00032D3F"/>
    <w:rsid w:val="0003689A"/>
    <w:rsid w:val="00036A2F"/>
    <w:rsid w:val="00037B90"/>
    <w:rsid w:val="00037B9E"/>
    <w:rsid w:val="0004048E"/>
    <w:rsid w:val="000423D3"/>
    <w:rsid w:val="00060A2A"/>
    <w:rsid w:val="0006204A"/>
    <w:rsid w:val="0006538D"/>
    <w:rsid w:val="000656B6"/>
    <w:rsid w:val="00071A37"/>
    <w:rsid w:val="000828AE"/>
    <w:rsid w:val="000838E4"/>
    <w:rsid w:val="000874D7"/>
    <w:rsid w:val="000948F9"/>
    <w:rsid w:val="00094CA5"/>
    <w:rsid w:val="00095962"/>
    <w:rsid w:val="000970F7"/>
    <w:rsid w:val="000A040A"/>
    <w:rsid w:val="000A4B3B"/>
    <w:rsid w:val="000A7D82"/>
    <w:rsid w:val="000B19A5"/>
    <w:rsid w:val="000C124C"/>
    <w:rsid w:val="000D4920"/>
    <w:rsid w:val="000D5189"/>
    <w:rsid w:val="000E183B"/>
    <w:rsid w:val="000F08BA"/>
    <w:rsid w:val="000F78F7"/>
    <w:rsid w:val="000F796B"/>
    <w:rsid w:val="00107F68"/>
    <w:rsid w:val="0011015B"/>
    <w:rsid w:val="00111D46"/>
    <w:rsid w:val="0011733D"/>
    <w:rsid w:val="001202A8"/>
    <w:rsid w:val="001259AE"/>
    <w:rsid w:val="00130957"/>
    <w:rsid w:val="00130EFC"/>
    <w:rsid w:val="00131257"/>
    <w:rsid w:val="00137472"/>
    <w:rsid w:val="0014103E"/>
    <w:rsid w:val="00142415"/>
    <w:rsid w:val="001430D0"/>
    <w:rsid w:val="00144AD7"/>
    <w:rsid w:val="00145B16"/>
    <w:rsid w:val="001616D1"/>
    <w:rsid w:val="00167818"/>
    <w:rsid w:val="0017067A"/>
    <w:rsid w:val="00175242"/>
    <w:rsid w:val="001771C2"/>
    <w:rsid w:val="001856E3"/>
    <w:rsid w:val="001954C5"/>
    <w:rsid w:val="001A0E86"/>
    <w:rsid w:val="001B1758"/>
    <w:rsid w:val="001B191B"/>
    <w:rsid w:val="001B2BD4"/>
    <w:rsid w:val="001B3253"/>
    <w:rsid w:val="001B3EFD"/>
    <w:rsid w:val="001B4E1F"/>
    <w:rsid w:val="001B64CB"/>
    <w:rsid w:val="001B7BD4"/>
    <w:rsid w:val="001C1B50"/>
    <w:rsid w:val="001C472B"/>
    <w:rsid w:val="001C719D"/>
    <w:rsid w:val="001D20BA"/>
    <w:rsid w:val="001D31F0"/>
    <w:rsid w:val="001D4FCE"/>
    <w:rsid w:val="001D5C92"/>
    <w:rsid w:val="001E0BB1"/>
    <w:rsid w:val="001E15A4"/>
    <w:rsid w:val="001E3FC2"/>
    <w:rsid w:val="001E4FF3"/>
    <w:rsid w:val="001E729F"/>
    <w:rsid w:val="001F5577"/>
    <w:rsid w:val="001F747D"/>
    <w:rsid w:val="002034E3"/>
    <w:rsid w:val="0021207D"/>
    <w:rsid w:val="0021548D"/>
    <w:rsid w:val="00221439"/>
    <w:rsid w:val="00223BB6"/>
    <w:rsid w:val="00223F54"/>
    <w:rsid w:val="00225C7E"/>
    <w:rsid w:val="00231A61"/>
    <w:rsid w:val="00231EF3"/>
    <w:rsid w:val="002332BC"/>
    <w:rsid w:val="00233A04"/>
    <w:rsid w:val="00237826"/>
    <w:rsid w:val="00242C0E"/>
    <w:rsid w:val="0024477B"/>
    <w:rsid w:val="00245829"/>
    <w:rsid w:val="002475DB"/>
    <w:rsid w:val="00250FF3"/>
    <w:rsid w:val="00253B6C"/>
    <w:rsid w:val="002545B1"/>
    <w:rsid w:val="00256138"/>
    <w:rsid w:val="002639FB"/>
    <w:rsid w:val="0026643C"/>
    <w:rsid w:val="00270513"/>
    <w:rsid w:val="002726D5"/>
    <w:rsid w:val="00273D62"/>
    <w:rsid w:val="00275217"/>
    <w:rsid w:val="00275FE9"/>
    <w:rsid w:val="0027783C"/>
    <w:rsid w:val="00280723"/>
    <w:rsid w:val="00287571"/>
    <w:rsid w:val="00292634"/>
    <w:rsid w:val="002A0CD1"/>
    <w:rsid w:val="002B00C3"/>
    <w:rsid w:val="002B2E92"/>
    <w:rsid w:val="002B57B5"/>
    <w:rsid w:val="002C0813"/>
    <w:rsid w:val="002C2518"/>
    <w:rsid w:val="002C7B01"/>
    <w:rsid w:val="002C7E21"/>
    <w:rsid w:val="002D1F57"/>
    <w:rsid w:val="002D2474"/>
    <w:rsid w:val="002E017C"/>
    <w:rsid w:val="002E57D8"/>
    <w:rsid w:val="002F0CDD"/>
    <w:rsid w:val="002F2342"/>
    <w:rsid w:val="00306C92"/>
    <w:rsid w:val="00311869"/>
    <w:rsid w:val="00311BBA"/>
    <w:rsid w:val="00313E12"/>
    <w:rsid w:val="0032310D"/>
    <w:rsid w:val="0032322E"/>
    <w:rsid w:val="003238C7"/>
    <w:rsid w:val="003267BF"/>
    <w:rsid w:val="00327507"/>
    <w:rsid w:val="0033132B"/>
    <w:rsid w:val="0033310D"/>
    <w:rsid w:val="00336A45"/>
    <w:rsid w:val="0034026B"/>
    <w:rsid w:val="00341D70"/>
    <w:rsid w:val="00342A17"/>
    <w:rsid w:val="0035227E"/>
    <w:rsid w:val="003544D2"/>
    <w:rsid w:val="0035462E"/>
    <w:rsid w:val="00362BE5"/>
    <w:rsid w:val="00362DB9"/>
    <w:rsid w:val="0036668D"/>
    <w:rsid w:val="00366A94"/>
    <w:rsid w:val="00366EBE"/>
    <w:rsid w:val="00367936"/>
    <w:rsid w:val="00380E20"/>
    <w:rsid w:val="00387D5E"/>
    <w:rsid w:val="00390F14"/>
    <w:rsid w:val="003925F2"/>
    <w:rsid w:val="003939EF"/>
    <w:rsid w:val="00397E33"/>
    <w:rsid w:val="003A23EB"/>
    <w:rsid w:val="003B2CE4"/>
    <w:rsid w:val="003B4389"/>
    <w:rsid w:val="003B7943"/>
    <w:rsid w:val="003C12D8"/>
    <w:rsid w:val="003C17AB"/>
    <w:rsid w:val="003C39DC"/>
    <w:rsid w:val="003C69BC"/>
    <w:rsid w:val="003D0093"/>
    <w:rsid w:val="003D4144"/>
    <w:rsid w:val="003E0984"/>
    <w:rsid w:val="003F2439"/>
    <w:rsid w:val="003F7DFE"/>
    <w:rsid w:val="00400F98"/>
    <w:rsid w:val="00405858"/>
    <w:rsid w:val="00412978"/>
    <w:rsid w:val="00414C94"/>
    <w:rsid w:val="00420392"/>
    <w:rsid w:val="00423BA0"/>
    <w:rsid w:val="00425189"/>
    <w:rsid w:val="004439E6"/>
    <w:rsid w:val="00447015"/>
    <w:rsid w:val="00447D02"/>
    <w:rsid w:val="0045128D"/>
    <w:rsid w:val="00452291"/>
    <w:rsid w:val="00462E4E"/>
    <w:rsid w:val="00463A88"/>
    <w:rsid w:val="0046629C"/>
    <w:rsid w:val="00474057"/>
    <w:rsid w:val="00480D2A"/>
    <w:rsid w:val="00481757"/>
    <w:rsid w:val="004853F5"/>
    <w:rsid w:val="0048592A"/>
    <w:rsid w:val="0049027A"/>
    <w:rsid w:val="004A1BCA"/>
    <w:rsid w:val="004A2F7E"/>
    <w:rsid w:val="004A3817"/>
    <w:rsid w:val="004A3DA8"/>
    <w:rsid w:val="004B0281"/>
    <w:rsid w:val="004B133E"/>
    <w:rsid w:val="004B27A0"/>
    <w:rsid w:val="004B3D96"/>
    <w:rsid w:val="004B5992"/>
    <w:rsid w:val="004B765D"/>
    <w:rsid w:val="004C250A"/>
    <w:rsid w:val="004C6944"/>
    <w:rsid w:val="004D40BD"/>
    <w:rsid w:val="004E1BC1"/>
    <w:rsid w:val="004E2B77"/>
    <w:rsid w:val="004E5F3B"/>
    <w:rsid w:val="004F7321"/>
    <w:rsid w:val="00502D43"/>
    <w:rsid w:val="00503C26"/>
    <w:rsid w:val="005052D3"/>
    <w:rsid w:val="0051066A"/>
    <w:rsid w:val="00514F45"/>
    <w:rsid w:val="005164BD"/>
    <w:rsid w:val="005164E4"/>
    <w:rsid w:val="005206F9"/>
    <w:rsid w:val="0052232A"/>
    <w:rsid w:val="00524C95"/>
    <w:rsid w:val="00526276"/>
    <w:rsid w:val="0053284F"/>
    <w:rsid w:val="005355F3"/>
    <w:rsid w:val="005404F1"/>
    <w:rsid w:val="0054232A"/>
    <w:rsid w:val="0054273B"/>
    <w:rsid w:val="00543032"/>
    <w:rsid w:val="00543C97"/>
    <w:rsid w:val="00547594"/>
    <w:rsid w:val="0055114B"/>
    <w:rsid w:val="00555A87"/>
    <w:rsid w:val="0055629B"/>
    <w:rsid w:val="00557B3B"/>
    <w:rsid w:val="00561124"/>
    <w:rsid w:val="00565A76"/>
    <w:rsid w:val="00566AD9"/>
    <w:rsid w:val="0056740C"/>
    <w:rsid w:val="005713D7"/>
    <w:rsid w:val="00572A7D"/>
    <w:rsid w:val="00575356"/>
    <w:rsid w:val="005801DB"/>
    <w:rsid w:val="005811F8"/>
    <w:rsid w:val="005828C1"/>
    <w:rsid w:val="0058309A"/>
    <w:rsid w:val="00585FDE"/>
    <w:rsid w:val="005B2E4A"/>
    <w:rsid w:val="005B4953"/>
    <w:rsid w:val="005B502D"/>
    <w:rsid w:val="005B6A20"/>
    <w:rsid w:val="005C003D"/>
    <w:rsid w:val="005C18C3"/>
    <w:rsid w:val="005C2246"/>
    <w:rsid w:val="005C376D"/>
    <w:rsid w:val="005D01AB"/>
    <w:rsid w:val="005D0349"/>
    <w:rsid w:val="005D0648"/>
    <w:rsid w:val="005D2BBD"/>
    <w:rsid w:val="005D3E31"/>
    <w:rsid w:val="005E09AB"/>
    <w:rsid w:val="005E2759"/>
    <w:rsid w:val="005E2A04"/>
    <w:rsid w:val="005F04D6"/>
    <w:rsid w:val="005F069E"/>
    <w:rsid w:val="005F0E2F"/>
    <w:rsid w:val="006027D3"/>
    <w:rsid w:val="00604624"/>
    <w:rsid w:val="00606F96"/>
    <w:rsid w:val="00610FC6"/>
    <w:rsid w:val="00612667"/>
    <w:rsid w:val="00613D90"/>
    <w:rsid w:val="00615B7E"/>
    <w:rsid w:val="00617860"/>
    <w:rsid w:val="00620F16"/>
    <w:rsid w:val="00624E4B"/>
    <w:rsid w:val="006323A6"/>
    <w:rsid w:val="00641861"/>
    <w:rsid w:val="00644CB8"/>
    <w:rsid w:val="006467F8"/>
    <w:rsid w:val="00654247"/>
    <w:rsid w:val="00654449"/>
    <w:rsid w:val="006561DB"/>
    <w:rsid w:val="006577F7"/>
    <w:rsid w:val="00664CF0"/>
    <w:rsid w:val="006657E4"/>
    <w:rsid w:val="00666952"/>
    <w:rsid w:val="006702F4"/>
    <w:rsid w:val="00672B6D"/>
    <w:rsid w:val="006763CA"/>
    <w:rsid w:val="00681C45"/>
    <w:rsid w:val="006842B9"/>
    <w:rsid w:val="00687793"/>
    <w:rsid w:val="006904CE"/>
    <w:rsid w:val="0069089A"/>
    <w:rsid w:val="00691DF9"/>
    <w:rsid w:val="00692ABC"/>
    <w:rsid w:val="006932FC"/>
    <w:rsid w:val="006A49E1"/>
    <w:rsid w:val="006A5A7D"/>
    <w:rsid w:val="006A5EDF"/>
    <w:rsid w:val="006B33CB"/>
    <w:rsid w:val="006B3897"/>
    <w:rsid w:val="006B5D06"/>
    <w:rsid w:val="006B637C"/>
    <w:rsid w:val="006C2D2B"/>
    <w:rsid w:val="006C4D0E"/>
    <w:rsid w:val="006F3A65"/>
    <w:rsid w:val="006F5ABB"/>
    <w:rsid w:val="00704AD2"/>
    <w:rsid w:val="0071056B"/>
    <w:rsid w:val="007155E6"/>
    <w:rsid w:val="00716018"/>
    <w:rsid w:val="00720CBC"/>
    <w:rsid w:val="00720D33"/>
    <w:rsid w:val="00722746"/>
    <w:rsid w:val="00727CDD"/>
    <w:rsid w:val="00732C00"/>
    <w:rsid w:val="00732DD6"/>
    <w:rsid w:val="0073344F"/>
    <w:rsid w:val="007345A6"/>
    <w:rsid w:val="00734750"/>
    <w:rsid w:val="00734B27"/>
    <w:rsid w:val="0074098F"/>
    <w:rsid w:val="00745287"/>
    <w:rsid w:val="00747578"/>
    <w:rsid w:val="00753D90"/>
    <w:rsid w:val="007565CD"/>
    <w:rsid w:val="007600B0"/>
    <w:rsid w:val="00762FCE"/>
    <w:rsid w:val="00764649"/>
    <w:rsid w:val="00764B77"/>
    <w:rsid w:val="007745BB"/>
    <w:rsid w:val="00777CCF"/>
    <w:rsid w:val="0079039E"/>
    <w:rsid w:val="00791229"/>
    <w:rsid w:val="00792C74"/>
    <w:rsid w:val="007940EE"/>
    <w:rsid w:val="00797133"/>
    <w:rsid w:val="007974B8"/>
    <w:rsid w:val="00797E22"/>
    <w:rsid w:val="007A1E08"/>
    <w:rsid w:val="007A5BE7"/>
    <w:rsid w:val="007A6CFA"/>
    <w:rsid w:val="007B0E7B"/>
    <w:rsid w:val="007C1F30"/>
    <w:rsid w:val="007C25D7"/>
    <w:rsid w:val="007C2682"/>
    <w:rsid w:val="007C5EBF"/>
    <w:rsid w:val="007C60B4"/>
    <w:rsid w:val="007C6618"/>
    <w:rsid w:val="007C68D2"/>
    <w:rsid w:val="007D34B5"/>
    <w:rsid w:val="007D3DB8"/>
    <w:rsid w:val="007D476F"/>
    <w:rsid w:val="007E27DE"/>
    <w:rsid w:val="007E2AAD"/>
    <w:rsid w:val="007E319F"/>
    <w:rsid w:val="007E5E1A"/>
    <w:rsid w:val="007F15AD"/>
    <w:rsid w:val="007F26B2"/>
    <w:rsid w:val="007F2C34"/>
    <w:rsid w:val="0080067C"/>
    <w:rsid w:val="008037DA"/>
    <w:rsid w:val="00803D34"/>
    <w:rsid w:val="008058C7"/>
    <w:rsid w:val="00810D8E"/>
    <w:rsid w:val="00812516"/>
    <w:rsid w:val="00821064"/>
    <w:rsid w:val="008221A8"/>
    <w:rsid w:val="0082660A"/>
    <w:rsid w:val="008279B6"/>
    <w:rsid w:val="00834C4E"/>
    <w:rsid w:val="008377EB"/>
    <w:rsid w:val="008448A5"/>
    <w:rsid w:val="00850263"/>
    <w:rsid w:val="008628F1"/>
    <w:rsid w:val="008655E3"/>
    <w:rsid w:val="00873991"/>
    <w:rsid w:val="008776F5"/>
    <w:rsid w:val="0088289C"/>
    <w:rsid w:val="0088649F"/>
    <w:rsid w:val="008877F8"/>
    <w:rsid w:val="008951BD"/>
    <w:rsid w:val="008967DF"/>
    <w:rsid w:val="00897BFE"/>
    <w:rsid w:val="008A1203"/>
    <w:rsid w:val="008B299A"/>
    <w:rsid w:val="008B2E5D"/>
    <w:rsid w:val="008B698E"/>
    <w:rsid w:val="008B6E8D"/>
    <w:rsid w:val="008C644A"/>
    <w:rsid w:val="008D68BF"/>
    <w:rsid w:val="008E00D7"/>
    <w:rsid w:val="008E744F"/>
    <w:rsid w:val="008E7967"/>
    <w:rsid w:val="008F4327"/>
    <w:rsid w:val="009002AD"/>
    <w:rsid w:val="0090063A"/>
    <w:rsid w:val="00902602"/>
    <w:rsid w:val="00902E78"/>
    <w:rsid w:val="009040B9"/>
    <w:rsid w:val="00905FB5"/>
    <w:rsid w:val="0091078C"/>
    <w:rsid w:val="00916256"/>
    <w:rsid w:val="009228BC"/>
    <w:rsid w:val="0093771E"/>
    <w:rsid w:val="00945646"/>
    <w:rsid w:val="00947CEC"/>
    <w:rsid w:val="00947EAC"/>
    <w:rsid w:val="0095143A"/>
    <w:rsid w:val="0095521A"/>
    <w:rsid w:val="00956F21"/>
    <w:rsid w:val="0096534A"/>
    <w:rsid w:val="00970B4D"/>
    <w:rsid w:val="00970BF1"/>
    <w:rsid w:val="00972863"/>
    <w:rsid w:val="0097431E"/>
    <w:rsid w:val="009751A2"/>
    <w:rsid w:val="00981409"/>
    <w:rsid w:val="009A14C0"/>
    <w:rsid w:val="009A5298"/>
    <w:rsid w:val="009A64E7"/>
    <w:rsid w:val="009B2D45"/>
    <w:rsid w:val="009B2E40"/>
    <w:rsid w:val="009B4307"/>
    <w:rsid w:val="009C19C1"/>
    <w:rsid w:val="009C2184"/>
    <w:rsid w:val="009C38F7"/>
    <w:rsid w:val="009C5B57"/>
    <w:rsid w:val="009C60A8"/>
    <w:rsid w:val="009C7FB7"/>
    <w:rsid w:val="009D012B"/>
    <w:rsid w:val="009D57D3"/>
    <w:rsid w:val="009E1B78"/>
    <w:rsid w:val="009E34E5"/>
    <w:rsid w:val="009E5D88"/>
    <w:rsid w:val="009F4F5D"/>
    <w:rsid w:val="009F6992"/>
    <w:rsid w:val="009F6C68"/>
    <w:rsid w:val="00A00025"/>
    <w:rsid w:val="00A14092"/>
    <w:rsid w:val="00A15AA0"/>
    <w:rsid w:val="00A17746"/>
    <w:rsid w:val="00A21320"/>
    <w:rsid w:val="00A235F5"/>
    <w:rsid w:val="00A253DB"/>
    <w:rsid w:val="00A31006"/>
    <w:rsid w:val="00A32998"/>
    <w:rsid w:val="00A32A76"/>
    <w:rsid w:val="00A33E7F"/>
    <w:rsid w:val="00A43277"/>
    <w:rsid w:val="00A44ABD"/>
    <w:rsid w:val="00A458FF"/>
    <w:rsid w:val="00A46285"/>
    <w:rsid w:val="00A472A6"/>
    <w:rsid w:val="00A54FB2"/>
    <w:rsid w:val="00A64BA1"/>
    <w:rsid w:val="00A64EFE"/>
    <w:rsid w:val="00A85E69"/>
    <w:rsid w:val="00A87B16"/>
    <w:rsid w:val="00A93A53"/>
    <w:rsid w:val="00A946F9"/>
    <w:rsid w:val="00A96461"/>
    <w:rsid w:val="00AA2BA1"/>
    <w:rsid w:val="00AA5948"/>
    <w:rsid w:val="00AB0158"/>
    <w:rsid w:val="00AB0574"/>
    <w:rsid w:val="00AB1137"/>
    <w:rsid w:val="00AB1223"/>
    <w:rsid w:val="00AB341C"/>
    <w:rsid w:val="00AB3539"/>
    <w:rsid w:val="00AB3AB9"/>
    <w:rsid w:val="00AB6ABA"/>
    <w:rsid w:val="00AB7917"/>
    <w:rsid w:val="00AC7AE9"/>
    <w:rsid w:val="00AC7E6E"/>
    <w:rsid w:val="00AD54A2"/>
    <w:rsid w:val="00AD5DCD"/>
    <w:rsid w:val="00AD651D"/>
    <w:rsid w:val="00AE05BE"/>
    <w:rsid w:val="00AE4119"/>
    <w:rsid w:val="00AF053B"/>
    <w:rsid w:val="00AF1FB5"/>
    <w:rsid w:val="00AF3A6D"/>
    <w:rsid w:val="00AF5B93"/>
    <w:rsid w:val="00B01E1D"/>
    <w:rsid w:val="00B05D80"/>
    <w:rsid w:val="00B11A1A"/>
    <w:rsid w:val="00B1561D"/>
    <w:rsid w:val="00B17430"/>
    <w:rsid w:val="00B325C8"/>
    <w:rsid w:val="00B325DA"/>
    <w:rsid w:val="00B42F63"/>
    <w:rsid w:val="00B45825"/>
    <w:rsid w:val="00B4667E"/>
    <w:rsid w:val="00B535B3"/>
    <w:rsid w:val="00B62539"/>
    <w:rsid w:val="00B71A21"/>
    <w:rsid w:val="00B8530A"/>
    <w:rsid w:val="00B8631E"/>
    <w:rsid w:val="00B9063C"/>
    <w:rsid w:val="00BA126B"/>
    <w:rsid w:val="00BA1682"/>
    <w:rsid w:val="00BA3A2B"/>
    <w:rsid w:val="00BB6EDF"/>
    <w:rsid w:val="00BC03F4"/>
    <w:rsid w:val="00BC3AF6"/>
    <w:rsid w:val="00BC51C7"/>
    <w:rsid w:val="00BD19F9"/>
    <w:rsid w:val="00BD50E7"/>
    <w:rsid w:val="00BD6EB5"/>
    <w:rsid w:val="00BE0EAB"/>
    <w:rsid w:val="00BE102F"/>
    <w:rsid w:val="00BE1219"/>
    <w:rsid w:val="00BE1CD9"/>
    <w:rsid w:val="00BE5216"/>
    <w:rsid w:val="00BE5CB5"/>
    <w:rsid w:val="00BF424B"/>
    <w:rsid w:val="00BF437E"/>
    <w:rsid w:val="00BF4EF0"/>
    <w:rsid w:val="00BF5F6F"/>
    <w:rsid w:val="00C0492C"/>
    <w:rsid w:val="00C06767"/>
    <w:rsid w:val="00C14C23"/>
    <w:rsid w:val="00C15CB1"/>
    <w:rsid w:val="00C15D9D"/>
    <w:rsid w:val="00C15F2C"/>
    <w:rsid w:val="00C17A19"/>
    <w:rsid w:val="00C208A2"/>
    <w:rsid w:val="00C221A1"/>
    <w:rsid w:val="00C24277"/>
    <w:rsid w:val="00C269D7"/>
    <w:rsid w:val="00C30236"/>
    <w:rsid w:val="00C30FCE"/>
    <w:rsid w:val="00C52326"/>
    <w:rsid w:val="00C5331F"/>
    <w:rsid w:val="00C6264B"/>
    <w:rsid w:val="00C6442B"/>
    <w:rsid w:val="00C6643F"/>
    <w:rsid w:val="00C702E4"/>
    <w:rsid w:val="00C704CE"/>
    <w:rsid w:val="00C70C07"/>
    <w:rsid w:val="00C73BAF"/>
    <w:rsid w:val="00C75B88"/>
    <w:rsid w:val="00C80402"/>
    <w:rsid w:val="00C81213"/>
    <w:rsid w:val="00C81739"/>
    <w:rsid w:val="00C8405E"/>
    <w:rsid w:val="00C8731D"/>
    <w:rsid w:val="00CA1CA7"/>
    <w:rsid w:val="00CA327A"/>
    <w:rsid w:val="00CA5A50"/>
    <w:rsid w:val="00CB0BB3"/>
    <w:rsid w:val="00CB21C4"/>
    <w:rsid w:val="00CB2E7C"/>
    <w:rsid w:val="00CB6E08"/>
    <w:rsid w:val="00CB77E0"/>
    <w:rsid w:val="00CC14E0"/>
    <w:rsid w:val="00CD2A02"/>
    <w:rsid w:val="00CD6296"/>
    <w:rsid w:val="00CD6A66"/>
    <w:rsid w:val="00CE0998"/>
    <w:rsid w:val="00CE2E19"/>
    <w:rsid w:val="00CE3647"/>
    <w:rsid w:val="00CF0B2A"/>
    <w:rsid w:val="00CF2374"/>
    <w:rsid w:val="00CF2C9D"/>
    <w:rsid w:val="00CF304A"/>
    <w:rsid w:val="00CF3FFB"/>
    <w:rsid w:val="00CF4D68"/>
    <w:rsid w:val="00CF5DDA"/>
    <w:rsid w:val="00CF7C1A"/>
    <w:rsid w:val="00D00221"/>
    <w:rsid w:val="00D01384"/>
    <w:rsid w:val="00D01D85"/>
    <w:rsid w:val="00D021F2"/>
    <w:rsid w:val="00D029A2"/>
    <w:rsid w:val="00D06512"/>
    <w:rsid w:val="00D12AA0"/>
    <w:rsid w:val="00D14F41"/>
    <w:rsid w:val="00D159BD"/>
    <w:rsid w:val="00D17911"/>
    <w:rsid w:val="00D216D7"/>
    <w:rsid w:val="00D2206C"/>
    <w:rsid w:val="00D25DF2"/>
    <w:rsid w:val="00D27B5D"/>
    <w:rsid w:val="00D27C94"/>
    <w:rsid w:val="00D35412"/>
    <w:rsid w:val="00D37980"/>
    <w:rsid w:val="00D4432F"/>
    <w:rsid w:val="00D50643"/>
    <w:rsid w:val="00D5349E"/>
    <w:rsid w:val="00D55683"/>
    <w:rsid w:val="00D62745"/>
    <w:rsid w:val="00D63225"/>
    <w:rsid w:val="00D67FEC"/>
    <w:rsid w:val="00D72AF1"/>
    <w:rsid w:val="00D7364A"/>
    <w:rsid w:val="00D75B9B"/>
    <w:rsid w:val="00D802D4"/>
    <w:rsid w:val="00D8039B"/>
    <w:rsid w:val="00D80BBD"/>
    <w:rsid w:val="00D83707"/>
    <w:rsid w:val="00D85169"/>
    <w:rsid w:val="00D9464A"/>
    <w:rsid w:val="00D97E16"/>
    <w:rsid w:val="00DA3E9D"/>
    <w:rsid w:val="00DA64D4"/>
    <w:rsid w:val="00DC2DB5"/>
    <w:rsid w:val="00DC63DC"/>
    <w:rsid w:val="00DD3387"/>
    <w:rsid w:val="00DD4C83"/>
    <w:rsid w:val="00DE14B1"/>
    <w:rsid w:val="00DE155E"/>
    <w:rsid w:val="00DE297D"/>
    <w:rsid w:val="00DE6ED2"/>
    <w:rsid w:val="00DF08F6"/>
    <w:rsid w:val="00DF12A2"/>
    <w:rsid w:val="00DF3158"/>
    <w:rsid w:val="00DF4375"/>
    <w:rsid w:val="00DF5FC6"/>
    <w:rsid w:val="00E006DB"/>
    <w:rsid w:val="00E00853"/>
    <w:rsid w:val="00E044A3"/>
    <w:rsid w:val="00E10D62"/>
    <w:rsid w:val="00E11187"/>
    <w:rsid w:val="00E13641"/>
    <w:rsid w:val="00E1426D"/>
    <w:rsid w:val="00E16A7F"/>
    <w:rsid w:val="00E223C7"/>
    <w:rsid w:val="00E256BF"/>
    <w:rsid w:val="00E305C7"/>
    <w:rsid w:val="00E32ADF"/>
    <w:rsid w:val="00E33BE5"/>
    <w:rsid w:val="00E355D1"/>
    <w:rsid w:val="00E40692"/>
    <w:rsid w:val="00E40D70"/>
    <w:rsid w:val="00E41563"/>
    <w:rsid w:val="00E434D1"/>
    <w:rsid w:val="00E47799"/>
    <w:rsid w:val="00E50E3C"/>
    <w:rsid w:val="00E53CB7"/>
    <w:rsid w:val="00E55328"/>
    <w:rsid w:val="00E57644"/>
    <w:rsid w:val="00E6164D"/>
    <w:rsid w:val="00E62BF0"/>
    <w:rsid w:val="00E63534"/>
    <w:rsid w:val="00E6747F"/>
    <w:rsid w:val="00E751A6"/>
    <w:rsid w:val="00E751C8"/>
    <w:rsid w:val="00E76AC0"/>
    <w:rsid w:val="00E77C60"/>
    <w:rsid w:val="00E85BCA"/>
    <w:rsid w:val="00E86D61"/>
    <w:rsid w:val="00E8766F"/>
    <w:rsid w:val="00E90CF6"/>
    <w:rsid w:val="00E9116E"/>
    <w:rsid w:val="00EA3EFC"/>
    <w:rsid w:val="00EA444D"/>
    <w:rsid w:val="00EA78DF"/>
    <w:rsid w:val="00EB08A4"/>
    <w:rsid w:val="00EB5FFB"/>
    <w:rsid w:val="00EB6D51"/>
    <w:rsid w:val="00EC2C7B"/>
    <w:rsid w:val="00EC6B66"/>
    <w:rsid w:val="00ED458A"/>
    <w:rsid w:val="00ED46E6"/>
    <w:rsid w:val="00EE071C"/>
    <w:rsid w:val="00EE3BC0"/>
    <w:rsid w:val="00EE3E01"/>
    <w:rsid w:val="00EE592B"/>
    <w:rsid w:val="00EE6263"/>
    <w:rsid w:val="00EE665E"/>
    <w:rsid w:val="00EE7B4B"/>
    <w:rsid w:val="00EF1586"/>
    <w:rsid w:val="00EF1684"/>
    <w:rsid w:val="00EF1856"/>
    <w:rsid w:val="00EF1B1F"/>
    <w:rsid w:val="00EF40C6"/>
    <w:rsid w:val="00F015C0"/>
    <w:rsid w:val="00F04BDF"/>
    <w:rsid w:val="00F04F2E"/>
    <w:rsid w:val="00F0534D"/>
    <w:rsid w:val="00F15409"/>
    <w:rsid w:val="00F156A9"/>
    <w:rsid w:val="00F15DB3"/>
    <w:rsid w:val="00F17058"/>
    <w:rsid w:val="00F17CE7"/>
    <w:rsid w:val="00F2102F"/>
    <w:rsid w:val="00F25879"/>
    <w:rsid w:val="00F31C5D"/>
    <w:rsid w:val="00F359B3"/>
    <w:rsid w:val="00F46D48"/>
    <w:rsid w:val="00F538A8"/>
    <w:rsid w:val="00F54D18"/>
    <w:rsid w:val="00F57443"/>
    <w:rsid w:val="00F60559"/>
    <w:rsid w:val="00F60CFD"/>
    <w:rsid w:val="00F6310D"/>
    <w:rsid w:val="00F64035"/>
    <w:rsid w:val="00F651FA"/>
    <w:rsid w:val="00F65C08"/>
    <w:rsid w:val="00F706B1"/>
    <w:rsid w:val="00F75408"/>
    <w:rsid w:val="00F75CBC"/>
    <w:rsid w:val="00F769C4"/>
    <w:rsid w:val="00F77AC7"/>
    <w:rsid w:val="00F77D6E"/>
    <w:rsid w:val="00F848A5"/>
    <w:rsid w:val="00F874CC"/>
    <w:rsid w:val="00F87886"/>
    <w:rsid w:val="00FA458D"/>
    <w:rsid w:val="00FB2D84"/>
    <w:rsid w:val="00FB542F"/>
    <w:rsid w:val="00FB5B91"/>
    <w:rsid w:val="00FB752B"/>
    <w:rsid w:val="00FB7CA5"/>
    <w:rsid w:val="00FC14C1"/>
    <w:rsid w:val="00FC78BF"/>
    <w:rsid w:val="00FD15D7"/>
    <w:rsid w:val="00FD3ABC"/>
    <w:rsid w:val="00FD5E3A"/>
    <w:rsid w:val="00FD75D7"/>
    <w:rsid w:val="00FE0509"/>
    <w:rsid w:val="00FE409A"/>
    <w:rsid w:val="00FE51DA"/>
    <w:rsid w:val="00FE5E88"/>
    <w:rsid w:val="00FE7730"/>
    <w:rsid w:val="00FF074B"/>
    <w:rsid w:val="00FF1700"/>
    <w:rsid w:val="00FF196D"/>
    <w:rsid w:val="00FF427B"/>
    <w:rsid w:val="00FF780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4DA1E0"/>
  <w15:docId w15:val="{ADEBCDBE-9765-48CA-9E80-0CCF274B2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366EBE"/>
    <w:pPr>
      <w:widowControl w:val="0"/>
      <w:autoSpaceDE w:val="0"/>
      <w:autoSpaceDN w:val="0"/>
      <w:spacing w:after="0" w:line="240" w:lineRule="auto"/>
      <w:ind w:left="871"/>
      <w:outlineLvl w:val="0"/>
    </w:pPr>
    <w:rPr>
      <w:rFonts w:ascii="Times New Roman" w:eastAsia="Times New Roman" w:hAnsi="Times New Roman" w:cs="Times New Roman"/>
      <w:b/>
      <w:bCs/>
      <w:sz w:val="24"/>
      <w:szCs w:val="24"/>
      <w:lang w:bidi="ar-SA"/>
    </w:rPr>
  </w:style>
  <w:style w:type="paragraph" w:styleId="Heading2">
    <w:name w:val="heading 2"/>
    <w:basedOn w:val="Normal"/>
    <w:next w:val="Normal"/>
    <w:link w:val="Heading2Char"/>
    <w:uiPriority w:val="9"/>
    <w:semiHidden/>
    <w:unhideWhenUsed/>
    <w:qFormat/>
    <w:rsid w:val="00FC14C1"/>
    <w:pPr>
      <w:keepNext/>
      <w:keepLines/>
      <w:spacing w:before="200" w:after="0"/>
      <w:outlineLvl w:val="1"/>
    </w:pPr>
    <w:rPr>
      <w:rFonts w:asciiTheme="majorHAnsi" w:eastAsiaTheme="majorEastAsia" w:hAnsiTheme="majorHAnsi" w:cstheme="majorBidi"/>
      <w:b/>
      <w:bCs/>
      <w:color w:val="4F81BD" w:themeColor="accent1"/>
      <w:sz w:val="26"/>
      <w:szCs w:val="33"/>
    </w:rPr>
  </w:style>
  <w:style w:type="paragraph" w:styleId="Heading3">
    <w:name w:val="heading 3"/>
    <w:basedOn w:val="Normal"/>
    <w:next w:val="Normal"/>
    <w:link w:val="Heading3Char"/>
    <w:uiPriority w:val="9"/>
    <w:semiHidden/>
    <w:unhideWhenUsed/>
    <w:qFormat/>
    <w:rsid w:val="009E34E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13641"/>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0067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EBE"/>
    <w:rPr>
      <w:rFonts w:ascii="Times New Roman" w:eastAsia="Times New Roman" w:hAnsi="Times New Roman" w:cs="Times New Roman"/>
      <w:b/>
      <w:bCs/>
      <w:sz w:val="24"/>
      <w:szCs w:val="24"/>
      <w:lang w:bidi="ar-SA"/>
    </w:rPr>
  </w:style>
  <w:style w:type="character" w:customStyle="1" w:styleId="Heading2Char">
    <w:name w:val="Heading 2 Char"/>
    <w:basedOn w:val="DefaultParagraphFont"/>
    <w:link w:val="Heading2"/>
    <w:uiPriority w:val="9"/>
    <w:semiHidden/>
    <w:rsid w:val="00FC14C1"/>
    <w:rPr>
      <w:rFonts w:asciiTheme="majorHAnsi" w:eastAsiaTheme="majorEastAsia" w:hAnsiTheme="majorHAnsi" w:cstheme="majorBidi"/>
      <w:b/>
      <w:bCs/>
      <w:color w:val="4F81BD" w:themeColor="accent1"/>
      <w:sz w:val="26"/>
      <w:szCs w:val="33"/>
    </w:rPr>
  </w:style>
  <w:style w:type="character" w:customStyle="1" w:styleId="Heading3Char">
    <w:name w:val="Heading 3 Char"/>
    <w:basedOn w:val="DefaultParagraphFont"/>
    <w:link w:val="Heading3"/>
    <w:uiPriority w:val="9"/>
    <w:semiHidden/>
    <w:rsid w:val="009E34E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13641"/>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80067C"/>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qFormat/>
    <w:rsid w:val="00A93A53"/>
    <w:rPr>
      <w:color w:val="0000FF" w:themeColor="hyperlink"/>
      <w:u w:val="single"/>
    </w:rPr>
  </w:style>
  <w:style w:type="paragraph" w:styleId="ListParagraph">
    <w:name w:val="List Paragraph"/>
    <w:aliases w:val="Body of text,List Paragraph1,normal,Normal1,Normal2,Normal3,Normal4,Normal5,Normal6,Normal7,ANNEX,List Paragraph (numbered (a)),Use Case List Paragraph,Citation List,Resume Title,List_Paragraph,Multilevel para_II,References,Ha,Graphic"/>
    <w:basedOn w:val="Normal"/>
    <w:link w:val="ListParagraphChar"/>
    <w:uiPriority w:val="99"/>
    <w:qFormat/>
    <w:rsid w:val="001B3EFD"/>
    <w:pPr>
      <w:ind w:left="720"/>
      <w:contextualSpacing/>
    </w:pPr>
  </w:style>
  <w:style w:type="character" w:customStyle="1" w:styleId="ListParagraphChar">
    <w:name w:val="List Paragraph Char"/>
    <w:aliases w:val="Body of text Char,List Paragraph1 Char,normal Char,Normal1 Char,Normal2 Char,Normal3 Char,Normal4 Char,Normal5 Char,Normal6 Char,Normal7 Char,ANNEX Char,List Paragraph (numbered (a)) Char,Use Case List Paragraph Char,References Char"/>
    <w:basedOn w:val="DefaultParagraphFont"/>
    <w:link w:val="ListParagraph"/>
    <w:uiPriority w:val="34"/>
    <w:qFormat/>
    <w:locked/>
    <w:rsid w:val="00CB21C4"/>
  </w:style>
  <w:style w:type="table" w:styleId="TableGrid">
    <w:name w:val="Table Grid"/>
    <w:basedOn w:val="TableNormal"/>
    <w:uiPriority w:val="99"/>
    <w:qFormat/>
    <w:rsid w:val="00036A2F"/>
    <w:pPr>
      <w:spacing w:after="0" w:line="240" w:lineRule="auto"/>
    </w:pPr>
    <w:rPr>
      <w:rFonts w:ascii="Times New Roman" w:eastAsia="Times New Roman" w:hAnsi="Times New Roman" w:cs="Times New Roman"/>
      <w:sz w:val="20"/>
      <w:szCs w:val="20"/>
      <w:lang w:val="id-ID"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306C92"/>
    <w:pPr>
      <w:spacing w:after="0" w:line="480" w:lineRule="auto"/>
      <w:ind w:left="720" w:hanging="720"/>
    </w:pPr>
  </w:style>
  <w:style w:type="paragraph" w:styleId="NormalWeb">
    <w:name w:val="Normal (Web)"/>
    <w:basedOn w:val="Normal"/>
    <w:uiPriority w:val="99"/>
    <w:unhideWhenUsed/>
    <w:qFormat/>
    <w:rsid w:val="00060A2A"/>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2B5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7B5"/>
  </w:style>
  <w:style w:type="paragraph" w:styleId="Footer">
    <w:name w:val="footer"/>
    <w:basedOn w:val="Normal"/>
    <w:link w:val="FooterChar"/>
    <w:uiPriority w:val="99"/>
    <w:unhideWhenUsed/>
    <w:rsid w:val="002B5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7B5"/>
  </w:style>
  <w:style w:type="paragraph" w:styleId="FootnoteText">
    <w:name w:val="footnote text"/>
    <w:basedOn w:val="Normal"/>
    <w:link w:val="FootnoteTextChar"/>
    <w:uiPriority w:val="99"/>
    <w:unhideWhenUsed/>
    <w:rsid w:val="00FC78BF"/>
    <w:pPr>
      <w:spacing w:after="0" w:line="240" w:lineRule="auto"/>
    </w:pPr>
    <w:rPr>
      <w:sz w:val="20"/>
      <w:szCs w:val="25"/>
    </w:rPr>
  </w:style>
  <w:style w:type="character" w:customStyle="1" w:styleId="FootnoteTextChar">
    <w:name w:val="Footnote Text Char"/>
    <w:basedOn w:val="DefaultParagraphFont"/>
    <w:link w:val="FootnoteText"/>
    <w:uiPriority w:val="99"/>
    <w:rsid w:val="00FC78BF"/>
    <w:rPr>
      <w:sz w:val="20"/>
      <w:szCs w:val="25"/>
    </w:rPr>
  </w:style>
  <w:style w:type="character" w:styleId="FootnoteReference">
    <w:name w:val="footnote reference"/>
    <w:uiPriority w:val="99"/>
    <w:rsid w:val="00FC78BF"/>
    <w:rPr>
      <w:rFonts w:ascii="Calibri" w:eastAsia="SimSun" w:hAnsi="Calibri" w:cs="Times New Roman" w:hint="default"/>
      <w:vertAlign w:val="superscript"/>
    </w:rPr>
  </w:style>
  <w:style w:type="paragraph" w:styleId="NoSpacing">
    <w:name w:val="No Spacing"/>
    <w:link w:val="NoSpacingChar"/>
    <w:uiPriority w:val="1"/>
    <w:qFormat/>
    <w:rsid w:val="00EF40C6"/>
    <w:pPr>
      <w:spacing w:after="0" w:line="240" w:lineRule="auto"/>
    </w:pPr>
  </w:style>
  <w:style w:type="character" w:customStyle="1" w:styleId="NoSpacingChar">
    <w:name w:val="No Spacing Char"/>
    <w:link w:val="NoSpacing"/>
    <w:uiPriority w:val="1"/>
    <w:rsid w:val="00834C4E"/>
  </w:style>
  <w:style w:type="character" w:styleId="Strong">
    <w:name w:val="Strong"/>
    <w:basedOn w:val="DefaultParagraphFont"/>
    <w:uiPriority w:val="22"/>
    <w:qFormat/>
    <w:rsid w:val="00C06767"/>
    <w:rPr>
      <w:b/>
      <w:bCs/>
    </w:rPr>
  </w:style>
  <w:style w:type="paragraph" w:styleId="BalloonText">
    <w:name w:val="Balloon Text"/>
    <w:basedOn w:val="Normal"/>
    <w:link w:val="BalloonTextChar"/>
    <w:uiPriority w:val="99"/>
    <w:semiHidden/>
    <w:unhideWhenUsed/>
    <w:rsid w:val="00C24277"/>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C24277"/>
    <w:rPr>
      <w:rFonts w:ascii="Tahoma" w:hAnsi="Tahoma" w:cs="Angsana New"/>
      <w:sz w:val="16"/>
      <w:szCs w:val="20"/>
    </w:rPr>
  </w:style>
  <w:style w:type="character" w:customStyle="1" w:styleId="mord">
    <w:name w:val="mord"/>
    <w:basedOn w:val="DefaultParagraphFont"/>
    <w:rsid w:val="00CB21C4"/>
  </w:style>
  <w:style w:type="paragraph" w:customStyle="1" w:styleId="senaText">
    <w:name w:val="sena Text"/>
    <w:basedOn w:val="Normal"/>
    <w:rsid w:val="00CB21C4"/>
    <w:pPr>
      <w:widowControl w:val="0"/>
      <w:autoSpaceDE w:val="0"/>
      <w:autoSpaceDN w:val="0"/>
      <w:spacing w:after="0" w:line="240" w:lineRule="auto"/>
      <w:ind w:firstLine="202"/>
      <w:jc w:val="both"/>
    </w:pPr>
    <w:rPr>
      <w:rFonts w:ascii="Times New Roman" w:eastAsia="Times New Roman" w:hAnsi="Times New Roman" w:cs="Times New Roman"/>
      <w:szCs w:val="20"/>
      <w:lang w:bidi="ar-SA"/>
    </w:rPr>
  </w:style>
  <w:style w:type="character" w:styleId="PlaceholderText">
    <w:name w:val="Placeholder Text"/>
    <w:basedOn w:val="DefaultParagraphFont"/>
    <w:uiPriority w:val="99"/>
    <w:semiHidden/>
    <w:rsid w:val="00812516"/>
    <w:rPr>
      <w:color w:val="808080"/>
    </w:rPr>
  </w:style>
  <w:style w:type="character" w:customStyle="1" w:styleId="katex-mathml">
    <w:name w:val="katex-mathml"/>
    <w:basedOn w:val="DefaultParagraphFont"/>
    <w:rsid w:val="001259AE"/>
  </w:style>
  <w:style w:type="character" w:customStyle="1" w:styleId="mrel">
    <w:name w:val="mrel"/>
    <w:basedOn w:val="DefaultParagraphFont"/>
    <w:rsid w:val="001259AE"/>
  </w:style>
  <w:style w:type="character" w:customStyle="1" w:styleId="vlist-s">
    <w:name w:val="vlist-s"/>
    <w:basedOn w:val="DefaultParagraphFont"/>
    <w:rsid w:val="001259AE"/>
  </w:style>
  <w:style w:type="character" w:customStyle="1" w:styleId="mbin">
    <w:name w:val="mbin"/>
    <w:basedOn w:val="DefaultParagraphFont"/>
    <w:rsid w:val="001259AE"/>
  </w:style>
  <w:style w:type="character" w:customStyle="1" w:styleId="fontstyle01">
    <w:name w:val="fontstyle01"/>
    <w:basedOn w:val="DefaultParagraphFont"/>
    <w:rsid w:val="00734B27"/>
    <w:rPr>
      <w:rFonts w:ascii="OpenSans" w:hAnsi="OpenSans" w:hint="default"/>
      <w:b w:val="0"/>
      <w:bCs w:val="0"/>
      <w:i w:val="0"/>
      <w:iCs w:val="0"/>
      <w:color w:val="000000"/>
      <w:sz w:val="20"/>
      <w:szCs w:val="20"/>
    </w:rPr>
  </w:style>
  <w:style w:type="character" w:customStyle="1" w:styleId="fontstyle21">
    <w:name w:val="fontstyle21"/>
    <w:basedOn w:val="DefaultParagraphFont"/>
    <w:rsid w:val="0034026B"/>
    <w:rPr>
      <w:rFonts w:ascii="Wingdings-Regular" w:hAnsi="Wingdings-Regular" w:hint="default"/>
      <w:b w:val="0"/>
      <w:bCs w:val="0"/>
      <w:i w:val="0"/>
      <w:iCs w:val="0"/>
      <w:color w:val="000000"/>
      <w:sz w:val="12"/>
      <w:szCs w:val="12"/>
    </w:rPr>
  </w:style>
  <w:style w:type="paragraph" w:styleId="BodyText">
    <w:name w:val="Body Text"/>
    <w:basedOn w:val="Normal"/>
    <w:link w:val="BodyTextChar"/>
    <w:uiPriority w:val="1"/>
    <w:qFormat/>
    <w:rsid w:val="00366EBE"/>
    <w:pPr>
      <w:widowControl w:val="0"/>
      <w:autoSpaceDE w:val="0"/>
      <w:autoSpaceDN w:val="0"/>
      <w:spacing w:after="0" w:line="240" w:lineRule="auto"/>
    </w:pPr>
    <w:rPr>
      <w:rFonts w:ascii="Times New Roman" w:eastAsia="Times New Roman" w:hAnsi="Times New Roman" w:cs="Times New Roman"/>
      <w:sz w:val="24"/>
      <w:szCs w:val="24"/>
      <w:lang w:bidi="ar-SA"/>
    </w:rPr>
  </w:style>
  <w:style w:type="character" w:customStyle="1" w:styleId="BodyTextChar">
    <w:name w:val="Body Text Char"/>
    <w:basedOn w:val="DefaultParagraphFont"/>
    <w:link w:val="BodyText"/>
    <w:uiPriority w:val="1"/>
    <w:rsid w:val="00366EBE"/>
    <w:rPr>
      <w:rFonts w:ascii="Times New Roman" w:eastAsia="Times New Roman" w:hAnsi="Times New Roman" w:cs="Times New Roman"/>
      <w:sz w:val="24"/>
      <w:szCs w:val="24"/>
      <w:lang w:bidi="ar-SA"/>
    </w:rPr>
  </w:style>
  <w:style w:type="paragraph" w:customStyle="1" w:styleId="TableParagraph">
    <w:name w:val="Table Paragraph"/>
    <w:basedOn w:val="Normal"/>
    <w:uiPriority w:val="1"/>
    <w:qFormat/>
    <w:rsid w:val="00B4667E"/>
    <w:pPr>
      <w:widowControl w:val="0"/>
      <w:autoSpaceDE w:val="0"/>
      <w:autoSpaceDN w:val="0"/>
      <w:spacing w:after="0" w:line="240" w:lineRule="auto"/>
    </w:pPr>
    <w:rPr>
      <w:rFonts w:ascii="Times New Roman" w:eastAsia="Times New Roman" w:hAnsi="Times New Roman" w:cs="Times New Roman"/>
      <w:szCs w:val="22"/>
      <w:lang w:bidi="ar-SA"/>
    </w:rPr>
  </w:style>
  <w:style w:type="character" w:styleId="Emphasis">
    <w:name w:val="Emphasis"/>
    <w:basedOn w:val="DefaultParagraphFont"/>
    <w:uiPriority w:val="20"/>
    <w:qFormat/>
    <w:rsid w:val="009E34E5"/>
    <w:rPr>
      <w:i/>
      <w:iCs/>
    </w:rPr>
  </w:style>
  <w:style w:type="paragraph" w:styleId="Title">
    <w:name w:val="Title"/>
    <w:link w:val="TitleChar"/>
    <w:uiPriority w:val="10"/>
    <w:qFormat/>
    <w:rsid w:val="00764649"/>
    <w:pPr>
      <w:spacing w:before="144" w:after="72" w:line="240" w:lineRule="auto"/>
    </w:pPr>
    <w:rPr>
      <w:rFonts w:ascii="Times New Roman" w:eastAsia="Times New Roman" w:hAnsi="Times New Roman" w:cs="Times New Roman"/>
      <w:sz w:val="56"/>
      <w:szCs w:val="56"/>
      <w:lang w:val="id-ID" w:eastAsia="id-ID" w:bidi="ar-SA"/>
    </w:rPr>
  </w:style>
  <w:style w:type="character" w:customStyle="1" w:styleId="TitleChar">
    <w:name w:val="Title Char"/>
    <w:basedOn w:val="DefaultParagraphFont"/>
    <w:link w:val="Title"/>
    <w:uiPriority w:val="10"/>
    <w:rsid w:val="00764649"/>
    <w:rPr>
      <w:rFonts w:ascii="Times New Roman" w:eastAsia="Times New Roman" w:hAnsi="Times New Roman" w:cs="Times New Roman"/>
      <w:sz w:val="56"/>
      <w:szCs w:val="56"/>
      <w:lang w:val="id-ID" w:eastAsia="id-ID" w:bidi="ar-SA"/>
    </w:rPr>
  </w:style>
  <w:style w:type="character" w:customStyle="1" w:styleId="name">
    <w:name w:val="name"/>
    <w:basedOn w:val="DefaultParagraphFont"/>
    <w:rsid w:val="00D67FEC"/>
  </w:style>
  <w:style w:type="paragraph" w:customStyle="1" w:styleId="FirstParagraph">
    <w:name w:val="First Paragraph"/>
    <w:basedOn w:val="BodyText"/>
    <w:next w:val="BodyText"/>
    <w:qFormat/>
    <w:rsid w:val="00FC14C1"/>
    <w:pPr>
      <w:widowControl/>
      <w:autoSpaceDE/>
      <w:autoSpaceDN/>
      <w:spacing w:before="180" w:after="180"/>
    </w:pPr>
    <w:rPr>
      <w:rFonts w:eastAsiaTheme="minorHAnsi" w:cstheme="minorBidi"/>
    </w:rPr>
  </w:style>
  <w:style w:type="paragraph" w:customStyle="1" w:styleId="Compact">
    <w:name w:val="Compact"/>
    <w:basedOn w:val="BodyText"/>
    <w:qFormat/>
    <w:rsid w:val="00FC14C1"/>
    <w:pPr>
      <w:widowControl/>
      <w:autoSpaceDE/>
      <w:autoSpaceDN/>
      <w:spacing w:before="36" w:after="36"/>
    </w:pPr>
    <w:rPr>
      <w:rFonts w:eastAsiaTheme="minorHAnsi" w:cstheme="minorBidi"/>
    </w:rPr>
  </w:style>
  <w:style w:type="character" w:customStyle="1" w:styleId="ms-1">
    <w:name w:val="ms-1"/>
    <w:basedOn w:val="DefaultParagraphFont"/>
    <w:rsid w:val="00AC7AE9"/>
  </w:style>
  <w:style w:type="character" w:customStyle="1" w:styleId="max-w-15ch">
    <w:name w:val="max-w-[15ch]"/>
    <w:basedOn w:val="DefaultParagraphFont"/>
    <w:rsid w:val="00AC7AE9"/>
  </w:style>
  <w:style w:type="table" w:customStyle="1" w:styleId="Table">
    <w:name w:val="Table"/>
    <w:semiHidden/>
    <w:unhideWhenUsed/>
    <w:qFormat/>
    <w:rsid w:val="006B3897"/>
    <w:pPr>
      <w:spacing w:line="240" w:lineRule="auto"/>
    </w:pPr>
    <w:rPr>
      <w:sz w:val="24"/>
      <w:szCs w:val="24"/>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IntenseQuote">
    <w:name w:val="Intense Quote"/>
    <w:basedOn w:val="Normal"/>
    <w:next w:val="Normal"/>
    <w:link w:val="IntenseQuoteChar"/>
    <w:uiPriority w:val="30"/>
    <w:qFormat/>
    <w:rsid w:val="00821064"/>
    <w:pPr>
      <w:pBdr>
        <w:top w:val="single" w:sz="4" w:space="10" w:color="365F91" w:themeColor="accent1" w:themeShade="BF"/>
        <w:bottom w:val="single" w:sz="4" w:space="10" w:color="365F91" w:themeColor="accent1" w:themeShade="BF"/>
      </w:pBdr>
      <w:spacing w:before="360" w:after="360" w:line="259" w:lineRule="auto"/>
      <w:ind w:left="864" w:right="864"/>
      <w:jc w:val="center"/>
    </w:pPr>
    <w:rPr>
      <w:i/>
      <w:iCs/>
      <w:color w:val="365F91" w:themeColor="accent1" w:themeShade="BF"/>
      <w:kern w:val="2"/>
      <w:szCs w:val="22"/>
      <w:lang w:val="en-ID" w:bidi="ar-SA"/>
      <w14:ligatures w14:val="standardContextual"/>
    </w:rPr>
  </w:style>
  <w:style w:type="character" w:customStyle="1" w:styleId="IntenseQuoteChar">
    <w:name w:val="Intense Quote Char"/>
    <w:basedOn w:val="DefaultParagraphFont"/>
    <w:link w:val="IntenseQuote"/>
    <w:uiPriority w:val="30"/>
    <w:rsid w:val="00821064"/>
    <w:rPr>
      <w:i/>
      <w:iCs/>
      <w:color w:val="365F91" w:themeColor="accent1" w:themeShade="BF"/>
      <w:kern w:val="2"/>
      <w:szCs w:val="22"/>
      <w:lang w:val="en-ID" w:bidi="ar-SA"/>
      <w14:ligatures w14:val="standardContextual"/>
    </w:rPr>
  </w:style>
  <w:style w:type="table" w:styleId="PlainTable2">
    <w:name w:val="Plain Table 2"/>
    <w:basedOn w:val="TableNormal"/>
    <w:uiPriority w:val="42"/>
    <w:rsid w:val="0053284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745287"/>
    <w:rPr>
      <w:color w:val="605E5C"/>
      <w:shd w:val="clear" w:color="auto" w:fill="E1DFDD"/>
    </w:rPr>
  </w:style>
  <w:style w:type="paragraph" w:customStyle="1" w:styleId="pdq2pgselectionanchorcontainer">
    <w:name w:val="pdq2pg_selectionanchorcontainer"/>
    <w:basedOn w:val="Normal"/>
    <w:rsid w:val="00313E12"/>
    <w:pPr>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1895">
      <w:bodyDiv w:val="1"/>
      <w:marLeft w:val="0"/>
      <w:marRight w:val="0"/>
      <w:marTop w:val="0"/>
      <w:marBottom w:val="0"/>
      <w:divBdr>
        <w:top w:val="none" w:sz="0" w:space="0" w:color="auto"/>
        <w:left w:val="none" w:sz="0" w:space="0" w:color="auto"/>
        <w:bottom w:val="none" w:sz="0" w:space="0" w:color="auto"/>
        <w:right w:val="none" w:sz="0" w:space="0" w:color="auto"/>
      </w:divBdr>
      <w:divsChild>
        <w:div w:id="1200900358">
          <w:marLeft w:val="0"/>
          <w:marRight w:val="0"/>
          <w:marTop w:val="0"/>
          <w:marBottom w:val="0"/>
          <w:divBdr>
            <w:top w:val="none" w:sz="0" w:space="0" w:color="auto"/>
            <w:left w:val="none" w:sz="0" w:space="0" w:color="auto"/>
            <w:bottom w:val="none" w:sz="0" w:space="0" w:color="auto"/>
            <w:right w:val="none" w:sz="0" w:space="0" w:color="auto"/>
          </w:divBdr>
          <w:divsChild>
            <w:div w:id="1320495482">
              <w:marLeft w:val="0"/>
              <w:marRight w:val="0"/>
              <w:marTop w:val="0"/>
              <w:marBottom w:val="0"/>
              <w:divBdr>
                <w:top w:val="none" w:sz="0" w:space="0" w:color="auto"/>
                <w:left w:val="none" w:sz="0" w:space="0" w:color="auto"/>
                <w:bottom w:val="none" w:sz="0" w:space="0" w:color="auto"/>
                <w:right w:val="none" w:sz="0" w:space="0" w:color="auto"/>
              </w:divBdr>
              <w:divsChild>
                <w:div w:id="183776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2739">
      <w:bodyDiv w:val="1"/>
      <w:marLeft w:val="0"/>
      <w:marRight w:val="0"/>
      <w:marTop w:val="0"/>
      <w:marBottom w:val="0"/>
      <w:divBdr>
        <w:top w:val="none" w:sz="0" w:space="0" w:color="auto"/>
        <w:left w:val="none" w:sz="0" w:space="0" w:color="auto"/>
        <w:bottom w:val="none" w:sz="0" w:space="0" w:color="auto"/>
        <w:right w:val="none" w:sz="0" w:space="0" w:color="auto"/>
      </w:divBdr>
    </w:div>
    <w:div w:id="34700826">
      <w:bodyDiv w:val="1"/>
      <w:marLeft w:val="0"/>
      <w:marRight w:val="0"/>
      <w:marTop w:val="0"/>
      <w:marBottom w:val="0"/>
      <w:divBdr>
        <w:top w:val="none" w:sz="0" w:space="0" w:color="auto"/>
        <w:left w:val="none" w:sz="0" w:space="0" w:color="auto"/>
        <w:bottom w:val="none" w:sz="0" w:space="0" w:color="auto"/>
        <w:right w:val="none" w:sz="0" w:space="0" w:color="auto"/>
      </w:divBdr>
    </w:div>
    <w:div w:id="61415028">
      <w:bodyDiv w:val="1"/>
      <w:marLeft w:val="0"/>
      <w:marRight w:val="0"/>
      <w:marTop w:val="0"/>
      <w:marBottom w:val="0"/>
      <w:divBdr>
        <w:top w:val="none" w:sz="0" w:space="0" w:color="auto"/>
        <w:left w:val="none" w:sz="0" w:space="0" w:color="auto"/>
        <w:bottom w:val="none" w:sz="0" w:space="0" w:color="auto"/>
        <w:right w:val="none" w:sz="0" w:space="0" w:color="auto"/>
      </w:divBdr>
    </w:div>
    <w:div w:id="74014430">
      <w:bodyDiv w:val="1"/>
      <w:marLeft w:val="0"/>
      <w:marRight w:val="0"/>
      <w:marTop w:val="0"/>
      <w:marBottom w:val="0"/>
      <w:divBdr>
        <w:top w:val="none" w:sz="0" w:space="0" w:color="auto"/>
        <w:left w:val="none" w:sz="0" w:space="0" w:color="auto"/>
        <w:bottom w:val="none" w:sz="0" w:space="0" w:color="auto"/>
        <w:right w:val="none" w:sz="0" w:space="0" w:color="auto"/>
      </w:divBdr>
      <w:divsChild>
        <w:div w:id="1946306321">
          <w:marLeft w:val="0"/>
          <w:marRight w:val="0"/>
          <w:marTop w:val="0"/>
          <w:marBottom w:val="0"/>
          <w:divBdr>
            <w:top w:val="none" w:sz="0" w:space="0" w:color="auto"/>
            <w:left w:val="none" w:sz="0" w:space="0" w:color="auto"/>
            <w:bottom w:val="none" w:sz="0" w:space="0" w:color="auto"/>
            <w:right w:val="none" w:sz="0" w:space="0" w:color="auto"/>
          </w:divBdr>
          <w:divsChild>
            <w:div w:id="12537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50462">
      <w:bodyDiv w:val="1"/>
      <w:marLeft w:val="0"/>
      <w:marRight w:val="0"/>
      <w:marTop w:val="0"/>
      <w:marBottom w:val="0"/>
      <w:divBdr>
        <w:top w:val="none" w:sz="0" w:space="0" w:color="auto"/>
        <w:left w:val="none" w:sz="0" w:space="0" w:color="auto"/>
        <w:bottom w:val="none" w:sz="0" w:space="0" w:color="auto"/>
        <w:right w:val="none" w:sz="0" w:space="0" w:color="auto"/>
      </w:divBdr>
      <w:divsChild>
        <w:div w:id="200872918">
          <w:marLeft w:val="0"/>
          <w:marRight w:val="0"/>
          <w:marTop w:val="0"/>
          <w:marBottom w:val="0"/>
          <w:divBdr>
            <w:top w:val="none" w:sz="0" w:space="0" w:color="auto"/>
            <w:left w:val="none" w:sz="0" w:space="0" w:color="auto"/>
            <w:bottom w:val="none" w:sz="0" w:space="0" w:color="auto"/>
            <w:right w:val="none" w:sz="0" w:space="0" w:color="auto"/>
          </w:divBdr>
          <w:divsChild>
            <w:div w:id="1921868419">
              <w:marLeft w:val="0"/>
              <w:marRight w:val="0"/>
              <w:marTop w:val="0"/>
              <w:marBottom w:val="0"/>
              <w:divBdr>
                <w:top w:val="none" w:sz="0" w:space="0" w:color="auto"/>
                <w:left w:val="none" w:sz="0" w:space="0" w:color="auto"/>
                <w:bottom w:val="none" w:sz="0" w:space="0" w:color="auto"/>
                <w:right w:val="none" w:sz="0" w:space="0" w:color="auto"/>
              </w:divBdr>
            </w:div>
            <w:div w:id="1842116099">
              <w:marLeft w:val="0"/>
              <w:marRight w:val="0"/>
              <w:marTop w:val="0"/>
              <w:marBottom w:val="0"/>
              <w:divBdr>
                <w:top w:val="none" w:sz="0" w:space="0" w:color="auto"/>
                <w:left w:val="none" w:sz="0" w:space="0" w:color="auto"/>
                <w:bottom w:val="none" w:sz="0" w:space="0" w:color="auto"/>
                <w:right w:val="none" w:sz="0" w:space="0" w:color="auto"/>
              </w:divBdr>
            </w:div>
            <w:div w:id="2142264802">
              <w:marLeft w:val="0"/>
              <w:marRight w:val="0"/>
              <w:marTop w:val="0"/>
              <w:marBottom w:val="0"/>
              <w:divBdr>
                <w:top w:val="none" w:sz="0" w:space="0" w:color="auto"/>
                <w:left w:val="none" w:sz="0" w:space="0" w:color="auto"/>
                <w:bottom w:val="none" w:sz="0" w:space="0" w:color="auto"/>
                <w:right w:val="none" w:sz="0" w:space="0" w:color="auto"/>
              </w:divBdr>
            </w:div>
            <w:div w:id="1340155888">
              <w:marLeft w:val="0"/>
              <w:marRight w:val="0"/>
              <w:marTop w:val="0"/>
              <w:marBottom w:val="0"/>
              <w:divBdr>
                <w:top w:val="none" w:sz="0" w:space="0" w:color="auto"/>
                <w:left w:val="none" w:sz="0" w:space="0" w:color="auto"/>
                <w:bottom w:val="none" w:sz="0" w:space="0" w:color="auto"/>
                <w:right w:val="none" w:sz="0" w:space="0" w:color="auto"/>
              </w:divBdr>
            </w:div>
            <w:div w:id="65989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83170">
      <w:bodyDiv w:val="1"/>
      <w:marLeft w:val="0"/>
      <w:marRight w:val="0"/>
      <w:marTop w:val="0"/>
      <w:marBottom w:val="0"/>
      <w:divBdr>
        <w:top w:val="none" w:sz="0" w:space="0" w:color="auto"/>
        <w:left w:val="none" w:sz="0" w:space="0" w:color="auto"/>
        <w:bottom w:val="none" w:sz="0" w:space="0" w:color="auto"/>
        <w:right w:val="none" w:sz="0" w:space="0" w:color="auto"/>
      </w:divBdr>
    </w:div>
    <w:div w:id="85344226">
      <w:bodyDiv w:val="1"/>
      <w:marLeft w:val="0"/>
      <w:marRight w:val="0"/>
      <w:marTop w:val="0"/>
      <w:marBottom w:val="0"/>
      <w:divBdr>
        <w:top w:val="none" w:sz="0" w:space="0" w:color="auto"/>
        <w:left w:val="none" w:sz="0" w:space="0" w:color="auto"/>
        <w:bottom w:val="none" w:sz="0" w:space="0" w:color="auto"/>
        <w:right w:val="none" w:sz="0" w:space="0" w:color="auto"/>
      </w:divBdr>
      <w:divsChild>
        <w:div w:id="1081564820">
          <w:marLeft w:val="0"/>
          <w:marRight w:val="0"/>
          <w:marTop w:val="0"/>
          <w:marBottom w:val="0"/>
          <w:divBdr>
            <w:top w:val="none" w:sz="0" w:space="0" w:color="auto"/>
            <w:left w:val="none" w:sz="0" w:space="0" w:color="auto"/>
            <w:bottom w:val="none" w:sz="0" w:space="0" w:color="auto"/>
            <w:right w:val="none" w:sz="0" w:space="0" w:color="auto"/>
          </w:divBdr>
          <w:divsChild>
            <w:div w:id="1419248408">
              <w:marLeft w:val="0"/>
              <w:marRight w:val="0"/>
              <w:marTop w:val="0"/>
              <w:marBottom w:val="0"/>
              <w:divBdr>
                <w:top w:val="none" w:sz="0" w:space="0" w:color="auto"/>
                <w:left w:val="none" w:sz="0" w:space="0" w:color="auto"/>
                <w:bottom w:val="none" w:sz="0" w:space="0" w:color="auto"/>
                <w:right w:val="none" w:sz="0" w:space="0" w:color="auto"/>
              </w:divBdr>
              <w:divsChild>
                <w:div w:id="35573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40080">
      <w:bodyDiv w:val="1"/>
      <w:marLeft w:val="0"/>
      <w:marRight w:val="0"/>
      <w:marTop w:val="0"/>
      <w:marBottom w:val="0"/>
      <w:divBdr>
        <w:top w:val="none" w:sz="0" w:space="0" w:color="auto"/>
        <w:left w:val="none" w:sz="0" w:space="0" w:color="auto"/>
        <w:bottom w:val="none" w:sz="0" w:space="0" w:color="auto"/>
        <w:right w:val="none" w:sz="0" w:space="0" w:color="auto"/>
      </w:divBdr>
      <w:divsChild>
        <w:div w:id="862132683">
          <w:marLeft w:val="0"/>
          <w:marRight w:val="0"/>
          <w:marTop w:val="0"/>
          <w:marBottom w:val="0"/>
          <w:divBdr>
            <w:top w:val="none" w:sz="0" w:space="0" w:color="auto"/>
            <w:left w:val="none" w:sz="0" w:space="0" w:color="auto"/>
            <w:bottom w:val="none" w:sz="0" w:space="0" w:color="auto"/>
            <w:right w:val="none" w:sz="0" w:space="0" w:color="auto"/>
          </w:divBdr>
          <w:divsChild>
            <w:div w:id="1580019887">
              <w:marLeft w:val="0"/>
              <w:marRight w:val="0"/>
              <w:marTop w:val="0"/>
              <w:marBottom w:val="0"/>
              <w:divBdr>
                <w:top w:val="none" w:sz="0" w:space="0" w:color="auto"/>
                <w:left w:val="none" w:sz="0" w:space="0" w:color="auto"/>
                <w:bottom w:val="none" w:sz="0" w:space="0" w:color="auto"/>
                <w:right w:val="none" w:sz="0" w:space="0" w:color="auto"/>
              </w:divBdr>
              <w:divsChild>
                <w:div w:id="208969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70814">
      <w:bodyDiv w:val="1"/>
      <w:marLeft w:val="0"/>
      <w:marRight w:val="0"/>
      <w:marTop w:val="0"/>
      <w:marBottom w:val="0"/>
      <w:divBdr>
        <w:top w:val="none" w:sz="0" w:space="0" w:color="auto"/>
        <w:left w:val="none" w:sz="0" w:space="0" w:color="auto"/>
        <w:bottom w:val="none" w:sz="0" w:space="0" w:color="auto"/>
        <w:right w:val="none" w:sz="0" w:space="0" w:color="auto"/>
      </w:divBdr>
    </w:div>
    <w:div w:id="99498928">
      <w:bodyDiv w:val="1"/>
      <w:marLeft w:val="0"/>
      <w:marRight w:val="0"/>
      <w:marTop w:val="0"/>
      <w:marBottom w:val="0"/>
      <w:divBdr>
        <w:top w:val="none" w:sz="0" w:space="0" w:color="auto"/>
        <w:left w:val="none" w:sz="0" w:space="0" w:color="auto"/>
        <w:bottom w:val="none" w:sz="0" w:space="0" w:color="auto"/>
        <w:right w:val="none" w:sz="0" w:space="0" w:color="auto"/>
      </w:divBdr>
    </w:div>
    <w:div w:id="115175389">
      <w:bodyDiv w:val="1"/>
      <w:marLeft w:val="0"/>
      <w:marRight w:val="0"/>
      <w:marTop w:val="0"/>
      <w:marBottom w:val="0"/>
      <w:divBdr>
        <w:top w:val="none" w:sz="0" w:space="0" w:color="auto"/>
        <w:left w:val="none" w:sz="0" w:space="0" w:color="auto"/>
        <w:bottom w:val="none" w:sz="0" w:space="0" w:color="auto"/>
        <w:right w:val="none" w:sz="0" w:space="0" w:color="auto"/>
      </w:divBdr>
    </w:div>
    <w:div w:id="152531038">
      <w:bodyDiv w:val="1"/>
      <w:marLeft w:val="0"/>
      <w:marRight w:val="0"/>
      <w:marTop w:val="0"/>
      <w:marBottom w:val="0"/>
      <w:divBdr>
        <w:top w:val="none" w:sz="0" w:space="0" w:color="auto"/>
        <w:left w:val="none" w:sz="0" w:space="0" w:color="auto"/>
        <w:bottom w:val="none" w:sz="0" w:space="0" w:color="auto"/>
        <w:right w:val="none" w:sz="0" w:space="0" w:color="auto"/>
      </w:divBdr>
    </w:div>
    <w:div w:id="160049760">
      <w:bodyDiv w:val="1"/>
      <w:marLeft w:val="0"/>
      <w:marRight w:val="0"/>
      <w:marTop w:val="0"/>
      <w:marBottom w:val="0"/>
      <w:divBdr>
        <w:top w:val="none" w:sz="0" w:space="0" w:color="auto"/>
        <w:left w:val="none" w:sz="0" w:space="0" w:color="auto"/>
        <w:bottom w:val="none" w:sz="0" w:space="0" w:color="auto"/>
        <w:right w:val="none" w:sz="0" w:space="0" w:color="auto"/>
      </w:divBdr>
    </w:div>
    <w:div w:id="164518581">
      <w:bodyDiv w:val="1"/>
      <w:marLeft w:val="0"/>
      <w:marRight w:val="0"/>
      <w:marTop w:val="0"/>
      <w:marBottom w:val="0"/>
      <w:divBdr>
        <w:top w:val="none" w:sz="0" w:space="0" w:color="auto"/>
        <w:left w:val="none" w:sz="0" w:space="0" w:color="auto"/>
        <w:bottom w:val="none" w:sz="0" w:space="0" w:color="auto"/>
        <w:right w:val="none" w:sz="0" w:space="0" w:color="auto"/>
      </w:divBdr>
    </w:div>
    <w:div w:id="197008374">
      <w:bodyDiv w:val="1"/>
      <w:marLeft w:val="0"/>
      <w:marRight w:val="0"/>
      <w:marTop w:val="0"/>
      <w:marBottom w:val="0"/>
      <w:divBdr>
        <w:top w:val="none" w:sz="0" w:space="0" w:color="auto"/>
        <w:left w:val="none" w:sz="0" w:space="0" w:color="auto"/>
        <w:bottom w:val="none" w:sz="0" w:space="0" w:color="auto"/>
        <w:right w:val="none" w:sz="0" w:space="0" w:color="auto"/>
      </w:divBdr>
    </w:div>
    <w:div w:id="198711418">
      <w:bodyDiv w:val="1"/>
      <w:marLeft w:val="0"/>
      <w:marRight w:val="0"/>
      <w:marTop w:val="0"/>
      <w:marBottom w:val="0"/>
      <w:divBdr>
        <w:top w:val="none" w:sz="0" w:space="0" w:color="auto"/>
        <w:left w:val="none" w:sz="0" w:space="0" w:color="auto"/>
        <w:bottom w:val="none" w:sz="0" w:space="0" w:color="auto"/>
        <w:right w:val="none" w:sz="0" w:space="0" w:color="auto"/>
      </w:divBdr>
    </w:div>
    <w:div w:id="222908546">
      <w:bodyDiv w:val="1"/>
      <w:marLeft w:val="0"/>
      <w:marRight w:val="0"/>
      <w:marTop w:val="0"/>
      <w:marBottom w:val="0"/>
      <w:divBdr>
        <w:top w:val="none" w:sz="0" w:space="0" w:color="auto"/>
        <w:left w:val="none" w:sz="0" w:space="0" w:color="auto"/>
        <w:bottom w:val="none" w:sz="0" w:space="0" w:color="auto"/>
        <w:right w:val="none" w:sz="0" w:space="0" w:color="auto"/>
      </w:divBdr>
      <w:divsChild>
        <w:div w:id="732583072">
          <w:marLeft w:val="0"/>
          <w:marRight w:val="0"/>
          <w:marTop w:val="0"/>
          <w:marBottom w:val="0"/>
          <w:divBdr>
            <w:top w:val="none" w:sz="0" w:space="0" w:color="auto"/>
            <w:left w:val="none" w:sz="0" w:space="0" w:color="auto"/>
            <w:bottom w:val="none" w:sz="0" w:space="0" w:color="auto"/>
            <w:right w:val="none" w:sz="0" w:space="0" w:color="auto"/>
          </w:divBdr>
          <w:divsChild>
            <w:div w:id="16740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688409">
      <w:bodyDiv w:val="1"/>
      <w:marLeft w:val="0"/>
      <w:marRight w:val="0"/>
      <w:marTop w:val="0"/>
      <w:marBottom w:val="0"/>
      <w:divBdr>
        <w:top w:val="none" w:sz="0" w:space="0" w:color="auto"/>
        <w:left w:val="none" w:sz="0" w:space="0" w:color="auto"/>
        <w:bottom w:val="none" w:sz="0" w:space="0" w:color="auto"/>
        <w:right w:val="none" w:sz="0" w:space="0" w:color="auto"/>
      </w:divBdr>
    </w:div>
    <w:div w:id="233199443">
      <w:bodyDiv w:val="1"/>
      <w:marLeft w:val="0"/>
      <w:marRight w:val="0"/>
      <w:marTop w:val="0"/>
      <w:marBottom w:val="0"/>
      <w:divBdr>
        <w:top w:val="none" w:sz="0" w:space="0" w:color="auto"/>
        <w:left w:val="none" w:sz="0" w:space="0" w:color="auto"/>
        <w:bottom w:val="none" w:sz="0" w:space="0" w:color="auto"/>
        <w:right w:val="none" w:sz="0" w:space="0" w:color="auto"/>
      </w:divBdr>
    </w:div>
    <w:div w:id="255024148">
      <w:bodyDiv w:val="1"/>
      <w:marLeft w:val="0"/>
      <w:marRight w:val="0"/>
      <w:marTop w:val="0"/>
      <w:marBottom w:val="0"/>
      <w:divBdr>
        <w:top w:val="none" w:sz="0" w:space="0" w:color="auto"/>
        <w:left w:val="none" w:sz="0" w:space="0" w:color="auto"/>
        <w:bottom w:val="none" w:sz="0" w:space="0" w:color="auto"/>
        <w:right w:val="none" w:sz="0" w:space="0" w:color="auto"/>
      </w:divBdr>
    </w:div>
    <w:div w:id="285427569">
      <w:bodyDiv w:val="1"/>
      <w:marLeft w:val="0"/>
      <w:marRight w:val="0"/>
      <w:marTop w:val="0"/>
      <w:marBottom w:val="0"/>
      <w:divBdr>
        <w:top w:val="none" w:sz="0" w:space="0" w:color="auto"/>
        <w:left w:val="none" w:sz="0" w:space="0" w:color="auto"/>
        <w:bottom w:val="none" w:sz="0" w:space="0" w:color="auto"/>
        <w:right w:val="none" w:sz="0" w:space="0" w:color="auto"/>
      </w:divBdr>
      <w:divsChild>
        <w:div w:id="285626795">
          <w:marLeft w:val="0"/>
          <w:marRight w:val="0"/>
          <w:marTop w:val="0"/>
          <w:marBottom w:val="0"/>
          <w:divBdr>
            <w:top w:val="none" w:sz="0" w:space="0" w:color="auto"/>
            <w:left w:val="none" w:sz="0" w:space="0" w:color="auto"/>
            <w:bottom w:val="none" w:sz="0" w:space="0" w:color="auto"/>
            <w:right w:val="none" w:sz="0" w:space="0" w:color="auto"/>
          </w:divBdr>
          <w:divsChild>
            <w:div w:id="1288007274">
              <w:marLeft w:val="0"/>
              <w:marRight w:val="0"/>
              <w:marTop w:val="0"/>
              <w:marBottom w:val="0"/>
              <w:divBdr>
                <w:top w:val="none" w:sz="0" w:space="0" w:color="auto"/>
                <w:left w:val="none" w:sz="0" w:space="0" w:color="auto"/>
                <w:bottom w:val="none" w:sz="0" w:space="0" w:color="auto"/>
                <w:right w:val="none" w:sz="0" w:space="0" w:color="auto"/>
              </w:divBdr>
            </w:div>
          </w:divsChild>
        </w:div>
        <w:div w:id="867568371">
          <w:marLeft w:val="0"/>
          <w:marRight w:val="0"/>
          <w:marTop w:val="0"/>
          <w:marBottom w:val="0"/>
          <w:divBdr>
            <w:top w:val="none" w:sz="0" w:space="0" w:color="auto"/>
            <w:left w:val="none" w:sz="0" w:space="0" w:color="auto"/>
            <w:bottom w:val="none" w:sz="0" w:space="0" w:color="auto"/>
            <w:right w:val="none" w:sz="0" w:space="0" w:color="auto"/>
          </w:divBdr>
          <w:divsChild>
            <w:div w:id="1782216006">
              <w:marLeft w:val="0"/>
              <w:marRight w:val="0"/>
              <w:marTop w:val="0"/>
              <w:marBottom w:val="0"/>
              <w:divBdr>
                <w:top w:val="none" w:sz="0" w:space="0" w:color="auto"/>
                <w:left w:val="none" w:sz="0" w:space="0" w:color="auto"/>
                <w:bottom w:val="none" w:sz="0" w:space="0" w:color="auto"/>
                <w:right w:val="none" w:sz="0" w:space="0" w:color="auto"/>
              </w:divBdr>
            </w:div>
          </w:divsChild>
        </w:div>
        <w:div w:id="766074062">
          <w:marLeft w:val="0"/>
          <w:marRight w:val="0"/>
          <w:marTop w:val="0"/>
          <w:marBottom w:val="0"/>
          <w:divBdr>
            <w:top w:val="none" w:sz="0" w:space="0" w:color="auto"/>
            <w:left w:val="none" w:sz="0" w:space="0" w:color="auto"/>
            <w:bottom w:val="none" w:sz="0" w:space="0" w:color="auto"/>
            <w:right w:val="none" w:sz="0" w:space="0" w:color="auto"/>
          </w:divBdr>
          <w:divsChild>
            <w:div w:id="304966665">
              <w:marLeft w:val="0"/>
              <w:marRight w:val="0"/>
              <w:marTop w:val="0"/>
              <w:marBottom w:val="0"/>
              <w:divBdr>
                <w:top w:val="none" w:sz="0" w:space="0" w:color="auto"/>
                <w:left w:val="none" w:sz="0" w:space="0" w:color="auto"/>
                <w:bottom w:val="none" w:sz="0" w:space="0" w:color="auto"/>
                <w:right w:val="none" w:sz="0" w:space="0" w:color="auto"/>
              </w:divBdr>
            </w:div>
          </w:divsChild>
        </w:div>
        <w:div w:id="403188252">
          <w:marLeft w:val="0"/>
          <w:marRight w:val="0"/>
          <w:marTop w:val="0"/>
          <w:marBottom w:val="0"/>
          <w:divBdr>
            <w:top w:val="none" w:sz="0" w:space="0" w:color="auto"/>
            <w:left w:val="none" w:sz="0" w:space="0" w:color="auto"/>
            <w:bottom w:val="none" w:sz="0" w:space="0" w:color="auto"/>
            <w:right w:val="none" w:sz="0" w:space="0" w:color="auto"/>
          </w:divBdr>
          <w:divsChild>
            <w:div w:id="129625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294570">
      <w:bodyDiv w:val="1"/>
      <w:marLeft w:val="0"/>
      <w:marRight w:val="0"/>
      <w:marTop w:val="0"/>
      <w:marBottom w:val="0"/>
      <w:divBdr>
        <w:top w:val="none" w:sz="0" w:space="0" w:color="auto"/>
        <w:left w:val="none" w:sz="0" w:space="0" w:color="auto"/>
        <w:bottom w:val="none" w:sz="0" w:space="0" w:color="auto"/>
        <w:right w:val="none" w:sz="0" w:space="0" w:color="auto"/>
      </w:divBdr>
    </w:div>
    <w:div w:id="294214001">
      <w:bodyDiv w:val="1"/>
      <w:marLeft w:val="0"/>
      <w:marRight w:val="0"/>
      <w:marTop w:val="0"/>
      <w:marBottom w:val="0"/>
      <w:divBdr>
        <w:top w:val="none" w:sz="0" w:space="0" w:color="auto"/>
        <w:left w:val="none" w:sz="0" w:space="0" w:color="auto"/>
        <w:bottom w:val="none" w:sz="0" w:space="0" w:color="auto"/>
        <w:right w:val="none" w:sz="0" w:space="0" w:color="auto"/>
      </w:divBdr>
      <w:divsChild>
        <w:div w:id="1489446114">
          <w:marLeft w:val="0"/>
          <w:marRight w:val="0"/>
          <w:marTop w:val="0"/>
          <w:marBottom w:val="0"/>
          <w:divBdr>
            <w:top w:val="none" w:sz="0" w:space="0" w:color="auto"/>
            <w:left w:val="none" w:sz="0" w:space="0" w:color="auto"/>
            <w:bottom w:val="none" w:sz="0" w:space="0" w:color="auto"/>
            <w:right w:val="none" w:sz="0" w:space="0" w:color="auto"/>
          </w:divBdr>
          <w:divsChild>
            <w:div w:id="1615403142">
              <w:marLeft w:val="0"/>
              <w:marRight w:val="0"/>
              <w:marTop w:val="0"/>
              <w:marBottom w:val="0"/>
              <w:divBdr>
                <w:top w:val="none" w:sz="0" w:space="0" w:color="auto"/>
                <w:left w:val="none" w:sz="0" w:space="0" w:color="auto"/>
                <w:bottom w:val="none" w:sz="0" w:space="0" w:color="auto"/>
                <w:right w:val="none" w:sz="0" w:space="0" w:color="auto"/>
              </w:divBdr>
              <w:divsChild>
                <w:div w:id="2052805854">
                  <w:marLeft w:val="0"/>
                  <w:marRight w:val="0"/>
                  <w:marTop w:val="0"/>
                  <w:marBottom w:val="0"/>
                  <w:divBdr>
                    <w:top w:val="none" w:sz="0" w:space="0" w:color="auto"/>
                    <w:left w:val="none" w:sz="0" w:space="0" w:color="auto"/>
                    <w:bottom w:val="none" w:sz="0" w:space="0" w:color="auto"/>
                    <w:right w:val="none" w:sz="0" w:space="0" w:color="auto"/>
                  </w:divBdr>
                  <w:divsChild>
                    <w:div w:id="37023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927182">
      <w:bodyDiv w:val="1"/>
      <w:marLeft w:val="0"/>
      <w:marRight w:val="0"/>
      <w:marTop w:val="0"/>
      <w:marBottom w:val="0"/>
      <w:divBdr>
        <w:top w:val="none" w:sz="0" w:space="0" w:color="auto"/>
        <w:left w:val="none" w:sz="0" w:space="0" w:color="auto"/>
        <w:bottom w:val="none" w:sz="0" w:space="0" w:color="auto"/>
        <w:right w:val="none" w:sz="0" w:space="0" w:color="auto"/>
      </w:divBdr>
    </w:div>
    <w:div w:id="306135165">
      <w:bodyDiv w:val="1"/>
      <w:marLeft w:val="0"/>
      <w:marRight w:val="0"/>
      <w:marTop w:val="0"/>
      <w:marBottom w:val="0"/>
      <w:divBdr>
        <w:top w:val="none" w:sz="0" w:space="0" w:color="auto"/>
        <w:left w:val="none" w:sz="0" w:space="0" w:color="auto"/>
        <w:bottom w:val="none" w:sz="0" w:space="0" w:color="auto"/>
        <w:right w:val="none" w:sz="0" w:space="0" w:color="auto"/>
      </w:divBdr>
    </w:div>
    <w:div w:id="347491079">
      <w:bodyDiv w:val="1"/>
      <w:marLeft w:val="0"/>
      <w:marRight w:val="0"/>
      <w:marTop w:val="0"/>
      <w:marBottom w:val="0"/>
      <w:divBdr>
        <w:top w:val="none" w:sz="0" w:space="0" w:color="auto"/>
        <w:left w:val="none" w:sz="0" w:space="0" w:color="auto"/>
        <w:bottom w:val="none" w:sz="0" w:space="0" w:color="auto"/>
        <w:right w:val="none" w:sz="0" w:space="0" w:color="auto"/>
      </w:divBdr>
    </w:div>
    <w:div w:id="351801291">
      <w:bodyDiv w:val="1"/>
      <w:marLeft w:val="0"/>
      <w:marRight w:val="0"/>
      <w:marTop w:val="0"/>
      <w:marBottom w:val="0"/>
      <w:divBdr>
        <w:top w:val="none" w:sz="0" w:space="0" w:color="auto"/>
        <w:left w:val="none" w:sz="0" w:space="0" w:color="auto"/>
        <w:bottom w:val="none" w:sz="0" w:space="0" w:color="auto"/>
        <w:right w:val="none" w:sz="0" w:space="0" w:color="auto"/>
      </w:divBdr>
      <w:divsChild>
        <w:div w:id="431711236">
          <w:marLeft w:val="0"/>
          <w:marRight w:val="0"/>
          <w:marTop w:val="0"/>
          <w:marBottom w:val="0"/>
          <w:divBdr>
            <w:top w:val="none" w:sz="0" w:space="0" w:color="auto"/>
            <w:left w:val="none" w:sz="0" w:space="0" w:color="auto"/>
            <w:bottom w:val="none" w:sz="0" w:space="0" w:color="auto"/>
            <w:right w:val="none" w:sz="0" w:space="0" w:color="auto"/>
          </w:divBdr>
          <w:divsChild>
            <w:div w:id="1187402004">
              <w:marLeft w:val="0"/>
              <w:marRight w:val="0"/>
              <w:marTop w:val="0"/>
              <w:marBottom w:val="0"/>
              <w:divBdr>
                <w:top w:val="none" w:sz="0" w:space="0" w:color="auto"/>
                <w:left w:val="none" w:sz="0" w:space="0" w:color="auto"/>
                <w:bottom w:val="none" w:sz="0" w:space="0" w:color="auto"/>
                <w:right w:val="none" w:sz="0" w:space="0" w:color="auto"/>
              </w:divBdr>
              <w:divsChild>
                <w:div w:id="94715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656985">
      <w:bodyDiv w:val="1"/>
      <w:marLeft w:val="0"/>
      <w:marRight w:val="0"/>
      <w:marTop w:val="0"/>
      <w:marBottom w:val="0"/>
      <w:divBdr>
        <w:top w:val="none" w:sz="0" w:space="0" w:color="auto"/>
        <w:left w:val="none" w:sz="0" w:space="0" w:color="auto"/>
        <w:bottom w:val="none" w:sz="0" w:space="0" w:color="auto"/>
        <w:right w:val="none" w:sz="0" w:space="0" w:color="auto"/>
      </w:divBdr>
    </w:div>
    <w:div w:id="383794286">
      <w:bodyDiv w:val="1"/>
      <w:marLeft w:val="0"/>
      <w:marRight w:val="0"/>
      <w:marTop w:val="0"/>
      <w:marBottom w:val="0"/>
      <w:divBdr>
        <w:top w:val="none" w:sz="0" w:space="0" w:color="auto"/>
        <w:left w:val="none" w:sz="0" w:space="0" w:color="auto"/>
        <w:bottom w:val="none" w:sz="0" w:space="0" w:color="auto"/>
        <w:right w:val="none" w:sz="0" w:space="0" w:color="auto"/>
      </w:divBdr>
    </w:div>
    <w:div w:id="404380344">
      <w:bodyDiv w:val="1"/>
      <w:marLeft w:val="0"/>
      <w:marRight w:val="0"/>
      <w:marTop w:val="0"/>
      <w:marBottom w:val="0"/>
      <w:divBdr>
        <w:top w:val="none" w:sz="0" w:space="0" w:color="auto"/>
        <w:left w:val="none" w:sz="0" w:space="0" w:color="auto"/>
        <w:bottom w:val="none" w:sz="0" w:space="0" w:color="auto"/>
        <w:right w:val="none" w:sz="0" w:space="0" w:color="auto"/>
      </w:divBdr>
      <w:divsChild>
        <w:div w:id="554977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566136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98539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5420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9395760">
      <w:bodyDiv w:val="1"/>
      <w:marLeft w:val="0"/>
      <w:marRight w:val="0"/>
      <w:marTop w:val="0"/>
      <w:marBottom w:val="0"/>
      <w:divBdr>
        <w:top w:val="none" w:sz="0" w:space="0" w:color="auto"/>
        <w:left w:val="none" w:sz="0" w:space="0" w:color="auto"/>
        <w:bottom w:val="none" w:sz="0" w:space="0" w:color="auto"/>
        <w:right w:val="none" w:sz="0" w:space="0" w:color="auto"/>
      </w:divBdr>
    </w:div>
    <w:div w:id="433211868">
      <w:bodyDiv w:val="1"/>
      <w:marLeft w:val="0"/>
      <w:marRight w:val="0"/>
      <w:marTop w:val="0"/>
      <w:marBottom w:val="0"/>
      <w:divBdr>
        <w:top w:val="none" w:sz="0" w:space="0" w:color="auto"/>
        <w:left w:val="none" w:sz="0" w:space="0" w:color="auto"/>
        <w:bottom w:val="none" w:sz="0" w:space="0" w:color="auto"/>
        <w:right w:val="none" w:sz="0" w:space="0" w:color="auto"/>
      </w:divBdr>
    </w:div>
    <w:div w:id="451287205">
      <w:bodyDiv w:val="1"/>
      <w:marLeft w:val="0"/>
      <w:marRight w:val="0"/>
      <w:marTop w:val="0"/>
      <w:marBottom w:val="0"/>
      <w:divBdr>
        <w:top w:val="none" w:sz="0" w:space="0" w:color="auto"/>
        <w:left w:val="none" w:sz="0" w:space="0" w:color="auto"/>
        <w:bottom w:val="none" w:sz="0" w:space="0" w:color="auto"/>
        <w:right w:val="none" w:sz="0" w:space="0" w:color="auto"/>
      </w:divBdr>
    </w:div>
    <w:div w:id="467209940">
      <w:bodyDiv w:val="1"/>
      <w:marLeft w:val="0"/>
      <w:marRight w:val="0"/>
      <w:marTop w:val="0"/>
      <w:marBottom w:val="0"/>
      <w:divBdr>
        <w:top w:val="none" w:sz="0" w:space="0" w:color="auto"/>
        <w:left w:val="none" w:sz="0" w:space="0" w:color="auto"/>
        <w:bottom w:val="none" w:sz="0" w:space="0" w:color="auto"/>
        <w:right w:val="none" w:sz="0" w:space="0" w:color="auto"/>
      </w:divBdr>
    </w:div>
    <w:div w:id="476841866">
      <w:bodyDiv w:val="1"/>
      <w:marLeft w:val="0"/>
      <w:marRight w:val="0"/>
      <w:marTop w:val="0"/>
      <w:marBottom w:val="0"/>
      <w:divBdr>
        <w:top w:val="none" w:sz="0" w:space="0" w:color="auto"/>
        <w:left w:val="none" w:sz="0" w:space="0" w:color="auto"/>
        <w:bottom w:val="none" w:sz="0" w:space="0" w:color="auto"/>
        <w:right w:val="none" w:sz="0" w:space="0" w:color="auto"/>
      </w:divBdr>
    </w:div>
    <w:div w:id="486169989">
      <w:bodyDiv w:val="1"/>
      <w:marLeft w:val="0"/>
      <w:marRight w:val="0"/>
      <w:marTop w:val="0"/>
      <w:marBottom w:val="0"/>
      <w:divBdr>
        <w:top w:val="none" w:sz="0" w:space="0" w:color="auto"/>
        <w:left w:val="none" w:sz="0" w:space="0" w:color="auto"/>
        <w:bottom w:val="none" w:sz="0" w:space="0" w:color="auto"/>
        <w:right w:val="none" w:sz="0" w:space="0" w:color="auto"/>
      </w:divBdr>
    </w:div>
    <w:div w:id="497573349">
      <w:bodyDiv w:val="1"/>
      <w:marLeft w:val="0"/>
      <w:marRight w:val="0"/>
      <w:marTop w:val="0"/>
      <w:marBottom w:val="0"/>
      <w:divBdr>
        <w:top w:val="none" w:sz="0" w:space="0" w:color="auto"/>
        <w:left w:val="none" w:sz="0" w:space="0" w:color="auto"/>
        <w:bottom w:val="none" w:sz="0" w:space="0" w:color="auto"/>
        <w:right w:val="none" w:sz="0" w:space="0" w:color="auto"/>
      </w:divBdr>
    </w:div>
    <w:div w:id="504629628">
      <w:bodyDiv w:val="1"/>
      <w:marLeft w:val="0"/>
      <w:marRight w:val="0"/>
      <w:marTop w:val="0"/>
      <w:marBottom w:val="0"/>
      <w:divBdr>
        <w:top w:val="none" w:sz="0" w:space="0" w:color="auto"/>
        <w:left w:val="none" w:sz="0" w:space="0" w:color="auto"/>
        <w:bottom w:val="none" w:sz="0" w:space="0" w:color="auto"/>
        <w:right w:val="none" w:sz="0" w:space="0" w:color="auto"/>
      </w:divBdr>
    </w:div>
    <w:div w:id="527840074">
      <w:bodyDiv w:val="1"/>
      <w:marLeft w:val="0"/>
      <w:marRight w:val="0"/>
      <w:marTop w:val="0"/>
      <w:marBottom w:val="0"/>
      <w:divBdr>
        <w:top w:val="none" w:sz="0" w:space="0" w:color="auto"/>
        <w:left w:val="none" w:sz="0" w:space="0" w:color="auto"/>
        <w:bottom w:val="none" w:sz="0" w:space="0" w:color="auto"/>
        <w:right w:val="none" w:sz="0" w:space="0" w:color="auto"/>
      </w:divBdr>
    </w:div>
    <w:div w:id="548733277">
      <w:bodyDiv w:val="1"/>
      <w:marLeft w:val="0"/>
      <w:marRight w:val="0"/>
      <w:marTop w:val="0"/>
      <w:marBottom w:val="0"/>
      <w:divBdr>
        <w:top w:val="none" w:sz="0" w:space="0" w:color="auto"/>
        <w:left w:val="none" w:sz="0" w:space="0" w:color="auto"/>
        <w:bottom w:val="none" w:sz="0" w:space="0" w:color="auto"/>
        <w:right w:val="none" w:sz="0" w:space="0" w:color="auto"/>
      </w:divBdr>
      <w:divsChild>
        <w:div w:id="1305045314">
          <w:marLeft w:val="0"/>
          <w:marRight w:val="0"/>
          <w:marTop w:val="0"/>
          <w:marBottom w:val="0"/>
          <w:divBdr>
            <w:top w:val="none" w:sz="0" w:space="0" w:color="auto"/>
            <w:left w:val="none" w:sz="0" w:space="0" w:color="auto"/>
            <w:bottom w:val="none" w:sz="0" w:space="0" w:color="auto"/>
            <w:right w:val="none" w:sz="0" w:space="0" w:color="auto"/>
          </w:divBdr>
          <w:divsChild>
            <w:div w:id="461848913">
              <w:marLeft w:val="0"/>
              <w:marRight w:val="0"/>
              <w:marTop w:val="0"/>
              <w:marBottom w:val="0"/>
              <w:divBdr>
                <w:top w:val="none" w:sz="0" w:space="0" w:color="auto"/>
                <w:left w:val="none" w:sz="0" w:space="0" w:color="auto"/>
                <w:bottom w:val="none" w:sz="0" w:space="0" w:color="auto"/>
                <w:right w:val="none" w:sz="0" w:space="0" w:color="auto"/>
              </w:divBdr>
              <w:divsChild>
                <w:div w:id="39986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538497">
      <w:bodyDiv w:val="1"/>
      <w:marLeft w:val="0"/>
      <w:marRight w:val="0"/>
      <w:marTop w:val="0"/>
      <w:marBottom w:val="0"/>
      <w:divBdr>
        <w:top w:val="none" w:sz="0" w:space="0" w:color="auto"/>
        <w:left w:val="none" w:sz="0" w:space="0" w:color="auto"/>
        <w:bottom w:val="none" w:sz="0" w:space="0" w:color="auto"/>
        <w:right w:val="none" w:sz="0" w:space="0" w:color="auto"/>
      </w:divBdr>
    </w:div>
    <w:div w:id="554854748">
      <w:bodyDiv w:val="1"/>
      <w:marLeft w:val="0"/>
      <w:marRight w:val="0"/>
      <w:marTop w:val="0"/>
      <w:marBottom w:val="0"/>
      <w:divBdr>
        <w:top w:val="none" w:sz="0" w:space="0" w:color="auto"/>
        <w:left w:val="none" w:sz="0" w:space="0" w:color="auto"/>
        <w:bottom w:val="none" w:sz="0" w:space="0" w:color="auto"/>
        <w:right w:val="none" w:sz="0" w:space="0" w:color="auto"/>
      </w:divBdr>
    </w:div>
    <w:div w:id="557672958">
      <w:bodyDiv w:val="1"/>
      <w:marLeft w:val="0"/>
      <w:marRight w:val="0"/>
      <w:marTop w:val="0"/>
      <w:marBottom w:val="0"/>
      <w:divBdr>
        <w:top w:val="none" w:sz="0" w:space="0" w:color="auto"/>
        <w:left w:val="none" w:sz="0" w:space="0" w:color="auto"/>
        <w:bottom w:val="none" w:sz="0" w:space="0" w:color="auto"/>
        <w:right w:val="none" w:sz="0" w:space="0" w:color="auto"/>
      </w:divBdr>
    </w:div>
    <w:div w:id="562915641">
      <w:bodyDiv w:val="1"/>
      <w:marLeft w:val="0"/>
      <w:marRight w:val="0"/>
      <w:marTop w:val="0"/>
      <w:marBottom w:val="0"/>
      <w:divBdr>
        <w:top w:val="none" w:sz="0" w:space="0" w:color="auto"/>
        <w:left w:val="none" w:sz="0" w:space="0" w:color="auto"/>
        <w:bottom w:val="none" w:sz="0" w:space="0" w:color="auto"/>
        <w:right w:val="none" w:sz="0" w:space="0" w:color="auto"/>
      </w:divBdr>
    </w:div>
    <w:div w:id="564222402">
      <w:bodyDiv w:val="1"/>
      <w:marLeft w:val="0"/>
      <w:marRight w:val="0"/>
      <w:marTop w:val="0"/>
      <w:marBottom w:val="0"/>
      <w:divBdr>
        <w:top w:val="none" w:sz="0" w:space="0" w:color="auto"/>
        <w:left w:val="none" w:sz="0" w:space="0" w:color="auto"/>
        <w:bottom w:val="none" w:sz="0" w:space="0" w:color="auto"/>
        <w:right w:val="none" w:sz="0" w:space="0" w:color="auto"/>
      </w:divBdr>
    </w:div>
    <w:div w:id="587924460">
      <w:bodyDiv w:val="1"/>
      <w:marLeft w:val="0"/>
      <w:marRight w:val="0"/>
      <w:marTop w:val="0"/>
      <w:marBottom w:val="0"/>
      <w:divBdr>
        <w:top w:val="none" w:sz="0" w:space="0" w:color="auto"/>
        <w:left w:val="none" w:sz="0" w:space="0" w:color="auto"/>
        <w:bottom w:val="none" w:sz="0" w:space="0" w:color="auto"/>
        <w:right w:val="none" w:sz="0" w:space="0" w:color="auto"/>
      </w:divBdr>
    </w:div>
    <w:div w:id="596329958">
      <w:bodyDiv w:val="1"/>
      <w:marLeft w:val="0"/>
      <w:marRight w:val="0"/>
      <w:marTop w:val="0"/>
      <w:marBottom w:val="0"/>
      <w:divBdr>
        <w:top w:val="none" w:sz="0" w:space="0" w:color="auto"/>
        <w:left w:val="none" w:sz="0" w:space="0" w:color="auto"/>
        <w:bottom w:val="none" w:sz="0" w:space="0" w:color="auto"/>
        <w:right w:val="none" w:sz="0" w:space="0" w:color="auto"/>
      </w:divBdr>
    </w:div>
    <w:div w:id="609556282">
      <w:bodyDiv w:val="1"/>
      <w:marLeft w:val="0"/>
      <w:marRight w:val="0"/>
      <w:marTop w:val="0"/>
      <w:marBottom w:val="0"/>
      <w:divBdr>
        <w:top w:val="none" w:sz="0" w:space="0" w:color="auto"/>
        <w:left w:val="none" w:sz="0" w:space="0" w:color="auto"/>
        <w:bottom w:val="none" w:sz="0" w:space="0" w:color="auto"/>
        <w:right w:val="none" w:sz="0" w:space="0" w:color="auto"/>
      </w:divBdr>
      <w:divsChild>
        <w:div w:id="1243756499">
          <w:marLeft w:val="0"/>
          <w:marRight w:val="0"/>
          <w:marTop w:val="0"/>
          <w:marBottom w:val="0"/>
          <w:divBdr>
            <w:top w:val="none" w:sz="0" w:space="0" w:color="auto"/>
            <w:left w:val="none" w:sz="0" w:space="0" w:color="auto"/>
            <w:bottom w:val="none" w:sz="0" w:space="0" w:color="auto"/>
            <w:right w:val="none" w:sz="0" w:space="0" w:color="auto"/>
          </w:divBdr>
          <w:divsChild>
            <w:div w:id="200748901">
              <w:marLeft w:val="0"/>
              <w:marRight w:val="0"/>
              <w:marTop w:val="0"/>
              <w:marBottom w:val="0"/>
              <w:divBdr>
                <w:top w:val="none" w:sz="0" w:space="0" w:color="auto"/>
                <w:left w:val="none" w:sz="0" w:space="0" w:color="auto"/>
                <w:bottom w:val="none" w:sz="0" w:space="0" w:color="auto"/>
                <w:right w:val="none" w:sz="0" w:space="0" w:color="auto"/>
              </w:divBdr>
              <w:divsChild>
                <w:div w:id="156363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789676">
      <w:bodyDiv w:val="1"/>
      <w:marLeft w:val="0"/>
      <w:marRight w:val="0"/>
      <w:marTop w:val="0"/>
      <w:marBottom w:val="0"/>
      <w:divBdr>
        <w:top w:val="none" w:sz="0" w:space="0" w:color="auto"/>
        <w:left w:val="none" w:sz="0" w:space="0" w:color="auto"/>
        <w:bottom w:val="none" w:sz="0" w:space="0" w:color="auto"/>
        <w:right w:val="none" w:sz="0" w:space="0" w:color="auto"/>
      </w:divBdr>
    </w:div>
    <w:div w:id="634988293">
      <w:bodyDiv w:val="1"/>
      <w:marLeft w:val="0"/>
      <w:marRight w:val="0"/>
      <w:marTop w:val="0"/>
      <w:marBottom w:val="0"/>
      <w:divBdr>
        <w:top w:val="none" w:sz="0" w:space="0" w:color="auto"/>
        <w:left w:val="none" w:sz="0" w:space="0" w:color="auto"/>
        <w:bottom w:val="none" w:sz="0" w:space="0" w:color="auto"/>
        <w:right w:val="none" w:sz="0" w:space="0" w:color="auto"/>
      </w:divBdr>
    </w:div>
    <w:div w:id="673149852">
      <w:bodyDiv w:val="1"/>
      <w:marLeft w:val="0"/>
      <w:marRight w:val="0"/>
      <w:marTop w:val="0"/>
      <w:marBottom w:val="0"/>
      <w:divBdr>
        <w:top w:val="none" w:sz="0" w:space="0" w:color="auto"/>
        <w:left w:val="none" w:sz="0" w:space="0" w:color="auto"/>
        <w:bottom w:val="none" w:sz="0" w:space="0" w:color="auto"/>
        <w:right w:val="none" w:sz="0" w:space="0" w:color="auto"/>
      </w:divBdr>
    </w:div>
    <w:div w:id="676811734">
      <w:bodyDiv w:val="1"/>
      <w:marLeft w:val="0"/>
      <w:marRight w:val="0"/>
      <w:marTop w:val="0"/>
      <w:marBottom w:val="0"/>
      <w:divBdr>
        <w:top w:val="none" w:sz="0" w:space="0" w:color="auto"/>
        <w:left w:val="none" w:sz="0" w:space="0" w:color="auto"/>
        <w:bottom w:val="none" w:sz="0" w:space="0" w:color="auto"/>
        <w:right w:val="none" w:sz="0" w:space="0" w:color="auto"/>
      </w:divBdr>
      <w:divsChild>
        <w:div w:id="151723151">
          <w:marLeft w:val="0"/>
          <w:marRight w:val="0"/>
          <w:marTop w:val="0"/>
          <w:marBottom w:val="0"/>
          <w:divBdr>
            <w:top w:val="none" w:sz="0" w:space="0" w:color="auto"/>
            <w:left w:val="none" w:sz="0" w:space="0" w:color="auto"/>
            <w:bottom w:val="none" w:sz="0" w:space="0" w:color="auto"/>
            <w:right w:val="none" w:sz="0" w:space="0" w:color="auto"/>
          </w:divBdr>
          <w:divsChild>
            <w:div w:id="1786850344">
              <w:marLeft w:val="0"/>
              <w:marRight w:val="0"/>
              <w:marTop w:val="0"/>
              <w:marBottom w:val="0"/>
              <w:divBdr>
                <w:top w:val="none" w:sz="0" w:space="0" w:color="auto"/>
                <w:left w:val="none" w:sz="0" w:space="0" w:color="auto"/>
                <w:bottom w:val="none" w:sz="0" w:space="0" w:color="auto"/>
                <w:right w:val="none" w:sz="0" w:space="0" w:color="auto"/>
              </w:divBdr>
              <w:divsChild>
                <w:div w:id="90079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090537">
      <w:bodyDiv w:val="1"/>
      <w:marLeft w:val="0"/>
      <w:marRight w:val="0"/>
      <w:marTop w:val="0"/>
      <w:marBottom w:val="0"/>
      <w:divBdr>
        <w:top w:val="none" w:sz="0" w:space="0" w:color="auto"/>
        <w:left w:val="none" w:sz="0" w:space="0" w:color="auto"/>
        <w:bottom w:val="none" w:sz="0" w:space="0" w:color="auto"/>
        <w:right w:val="none" w:sz="0" w:space="0" w:color="auto"/>
      </w:divBdr>
    </w:div>
    <w:div w:id="684670259">
      <w:bodyDiv w:val="1"/>
      <w:marLeft w:val="0"/>
      <w:marRight w:val="0"/>
      <w:marTop w:val="0"/>
      <w:marBottom w:val="0"/>
      <w:divBdr>
        <w:top w:val="none" w:sz="0" w:space="0" w:color="auto"/>
        <w:left w:val="none" w:sz="0" w:space="0" w:color="auto"/>
        <w:bottom w:val="none" w:sz="0" w:space="0" w:color="auto"/>
        <w:right w:val="none" w:sz="0" w:space="0" w:color="auto"/>
      </w:divBdr>
    </w:div>
    <w:div w:id="697510399">
      <w:bodyDiv w:val="1"/>
      <w:marLeft w:val="0"/>
      <w:marRight w:val="0"/>
      <w:marTop w:val="0"/>
      <w:marBottom w:val="0"/>
      <w:divBdr>
        <w:top w:val="none" w:sz="0" w:space="0" w:color="auto"/>
        <w:left w:val="none" w:sz="0" w:space="0" w:color="auto"/>
        <w:bottom w:val="none" w:sz="0" w:space="0" w:color="auto"/>
        <w:right w:val="none" w:sz="0" w:space="0" w:color="auto"/>
      </w:divBdr>
    </w:div>
    <w:div w:id="698437223">
      <w:bodyDiv w:val="1"/>
      <w:marLeft w:val="0"/>
      <w:marRight w:val="0"/>
      <w:marTop w:val="0"/>
      <w:marBottom w:val="0"/>
      <w:divBdr>
        <w:top w:val="none" w:sz="0" w:space="0" w:color="auto"/>
        <w:left w:val="none" w:sz="0" w:space="0" w:color="auto"/>
        <w:bottom w:val="none" w:sz="0" w:space="0" w:color="auto"/>
        <w:right w:val="none" w:sz="0" w:space="0" w:color="auto"/>
      </w:divBdr>
    </w:div>
    <w:div w:id="722408874">
      <w:bodyDiv w:val="1"/>
      <w:marLeft w:val="0"/>
      <w:marRight w:val="0"/>
      <w:marTop w:val="0"/>
      <w:marBottom w:val="0"/>
      <w:divBdr>
        <w:top w:val="none" w:sz="0" w:space="0" w:color="auto"/>
        <w:left w:val="none" w:sz="0" w:space="0" w:color="auto"/>
        <w:bottom w:val="none" w:sz="0" w:space="0" w:color="auto"/>
        <w:right w:val="none" w:sz="0" w:space="0" w:color="auto"/>
      </w:divBdr>
    </w:div>
    <w:div w:id="736902825">
      <w:bodyDiv w:val="1"/>
      <w:marLeft w:val="0"/>
      <w:marRight w:val="0"/>
      <w:marTop w:val="0"/>
      <w:marBottom w:val="0"/>
      <w:divBdr>
        <w:top w:val="none" w:sz="0" w:space="0" w:color="auto"/>
        <w:left w:val="none" w:sz="0" w:space="0" w:color="auto"/>
        <w:bottom w:val="none" w:sz="0" w:space="0" w:color="auto"/>
        <w:right w:val="none" w:sz="0" w:space="0" w:color="auto"/>
      </w:divBdr>
    </w:div>
    <w:div w:id="737942566">
      <w:bodyDiv w:val="1"/>
      <w:marLeft w:val="0"/>
      <w:marRight w:val="0"/>
      <w:marTop w:val="0"/>
      <w:marBottom w:val="0"/>
      <w:divBdr>
        <w:top w:val="none" w:sz="0" w:space="0" w:color="auto"/>
        <w:left w:val="none" w:sz="0" w:space="0" w:color="auto"/>
        <w:bottom w:val="none" w:sz="0" w:space="0" w:color="auto"/>
        <w:right w:val="none" w:sz="0" w:space="0" w:color="auto"/>
      </w:divBdr>
    </w:div>
    <w:div w:id="742409091">
      <w:bodyDiv w:val="1"/>
      <w:marLeft w:val="0"/>
      <w:marRight w:val="0"/>
      <w:marTop w:val="0"/>
      <w:marBottom w:val="0"/>
      <w:divBdr>
        <w:top w:val="none" w:sz="0" w:space="0" w:color="auto"/>
        <w:left w:val="none" w:sz="0" w:space="0" w:color="auto"/>
        <w:bottom w:val="none" w:sz="0" w:space="0" w:color="auto"/>
        <w:right w:val="none" w:sz="0" w:space="0" w:color="auto"/>
      </w:divBdr>
    </w:div>
    <w:div w:id="769160098">
      <w:bodyDiv w:val="1"/>
      <w:marLeft w:val="0"/>
      <w:marRight w:val="0"/>
      <w:marTop w:val="0"/>
      <w:marBottom w:val="0"/>
      <w:divBdr>
        <w:top w:val="none" w:sz="0" w:space="0" w:color="auto"/>
        <w:left w:val="none" w:sz="0" w:space="0" w:color="auto"/>
        <w:bottom w:val="none" w:sz="0" w:space="0" w:color="auto"/>
        <w:right w:val="none" w:sz="0" w:space="0" w:color="auto"/>
      </w:divBdr>
      <w:divsChild>
        <w:div w:id="496072720">
          <w:marLeft w:val="0"/>
          <w:marRight w:val="0"/>
          <w:marTop w:val="0"/>
          <w:marBottom w:val="0"/>
          <w:divBdr>
            <w:top w:val="none" w:sz="0" w:space="0" w:color="auto"/>
            <w:left w:val="none" w:sz="0" w:space="0" w:color="auto"/>
            <w:bottom w:val="none" w:sz="0" w:space="0" w:color="auto"/>
            <w:right w:val="none" w:sz="0" w:space="0" w:color="auto"/>
          </w:divBdr>
          <w:divsChild>
            <w:div w:id="1616793309">
              <w:marLeft w:val="0"/>
              <w:marRight w:val="0"/>
              <w:marTop w:val="0"/>
              <w:marBottom w:val="0"/>
              <w:divBdr>
                <w:top w:val="none" w:sz="0" w:space="0" w:color="auto"/>
                <w:left w:val="none" w:sz="0" w:space="0" w:color="auto"/>
                <w:bottom w:val="none" w:sz="0" w:space="0" w:color="auto"/>
                <w:right w:val="none" w:sz="0" w:space="0" w:color="auto"/>
              </w:divBdr>
              <w:divsChild>
                <w:div w:id="9058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50160">
      <w:bodyDiv w:val="1"/>
      <w:marLeft w:val="0"/>
      <w:marRight w:val="0"/>
      <w:marTop w:val="0"/>
      <w:marBottom w:val="0"/>
      <w:divBdr>
        <w:top w:val="none" w:sz="0" w:space="0" w:color="auto"/>
        <w:left w:val="none" w:sz="0" w:space="0" w:color="auto"/>
        <w:bottom w:val="none" w:sz="0" w:space="0" w:color="auto"/>
        <w:right w:val="none" w:sz="0" w:space="0" w:color="auto"/>
      </w:divBdr>
    </w:div>
    <w:div w:id="815074563">
      <w:bodyDiv w:val="1"/>
      <w:marLeft w:val="0"/>
      <w:marRight w:val="0"/>
      <w:marTop w:val="0"/>
      <w:marBottom w:val="0"/>
      <w:divBdr>
        <w:top w:val="none" w:sz="0" w:space="0" w:color="auto"/>
        <w:left w:val="none" w:sz="0" w:space="0" w:color="auto"/>
        <w:bottom w:val="none" w:sz="0" w:space="0" w:color="auto"/>
        <w:right w:val="none" w:sz="0" w:space="0" w:color="auto"/>
      </w:divBdr>
      <w:divsChild>
        <w:div w:id="2076512328">
          <w:marLeft w:val="0"/>
          <w:marRight w:val="0"/>
          <w:marTop w:val="0"/>
          <w:marBottom w:val="0"/>
          <w:divBdr>
            <w:top w:val="none" w:sz="0" w:space="0" w:color="auto"/>
            <w:left w:val="none" w:sz="0" w:space="0" w:color="auto"/>
            <w:bottom w:val="none" w:sz="0" w:space="0" w:color="auto"/>
            <w:right w:val="none" w:sz="0" w:space="0" w:color="auto"/>
          </w:divBdr>
          <w:divsChild>
            <w:div w:id="44165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27323">
      <w:bodyDiv w:val="1"/>
      <w:marLeft w:val="0"/>
      <w:marRight w:val="0"/>
      <w:marTop w:val="0"/>
      <w:marBottom w:val="0"/>
      <w:divBdr>
        <w:top w:val="none" w:sz="0" w:space="0" w:color="auto"/>
        <w:left w:val="none" w:sz="0" w:space="0" w:color="auto"/>
        <w:bottom w:val="none" w:sz="0" w:space="0" w:color="auto"/>
        <w:right w:val="none" w:sz="0" w:space="0" w:color="auto"/>
      </w:divBdr>
    </w:div>
    <w:div w:id="878977640">
      <w:bodyDiv w:val="1"/>
      <w:marLeft w:val="0"/>
      <w:marRight w:val="0"/>
      <w:marTop w:val="0"/>
      <w:marBottom w:val="0"/>
      <w:divBdr>
        <w:top w:val="none" w:sz="0" w:space="0" w:color="auto"/>
        <w:left w:val="none" w:sz="0" w:space="0" w:color="auto"/>
        <w:bottom w:val="none" w:sz="0" w:space="0" w:color="auto"/>
        <w:right w:val="none" w:sz="0" w:space="0" w:color="auto"/>
      </w:divBdr>
      <w:divsChild>
        <w:div w:id="1517500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645657">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260063">
          <w:blockQuote w:val="1"/>
          <w:marLeft w:val="720"/>
          <w:marRight w:val="720"/>
          <w:marTop w:val="100"/>
          <w:marBottom w:val="100"/>
          <w:divBdr>
            <w:top w:val="none" w:sz="0" w:space="0" w:color="auto"/>
            <w:left w:val="none" w:sz="0" w:space="0" w:color="auto"/>
            <w:bottom w:val="none" w:sz="0" w:space="0" w:color="auto"/>
            <w:right w:val="none" w:sz="0" w:space="0" w:color="auto"/>
          </w:divBdr>
        </w:div>
        <w:div w:id="3946659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4536312">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922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661603">
      <w:bodyDiv w:val="1"/>
      <w:marLeft w:val="0"/>
      <w:marRight w:val="0"/>
      <w:marTop w:val="0"/>
      <w:marBottom w:val="0"/>
      <w:divBdr>
        <w:top w:val="none" w:sz="0" w:space="0" w:color="auto"/>
        <w:left w:val="none" w:sz="0" w:space="0" w:color="auto"/>
        <w:bottom w:val="none" w:sz="0" w:space="0" w:color="auto"/>
        <w:right w:val="none" w:sz="0" w:space="0" w:color="auto"/>
      </w:divBdr>
    </w:div>
    <w:div w:id="956989285">
      <w:bodyDiv w:val="1"/>
      <w:marLeft w:val="0"/>
      <w:marRight w:val="0"/>
      <w:marTop w:val="0"/>
      <w:marBottom w:val="0"/>
      <w:divBdr>
        <w:top w:val="none" w:sz="0" w:space="0" w:color="auto"/>
        <w:left w:val="none" w:sz="0" w:space="0" w:color="auto"/>
        <w:bottom w:val="none" w:sz="0" w:space="0" w:color="auto"/>
        <w:right w:val="none" w:sz="0" w:space="0" w:color="auto"/>
      </w:divBdr>
      <w:divsChild>
        <w:div w:id="71015184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1750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50774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1864843">
      <w:bodyDiv w:val="1"/>
      <w:marLeft w:val="0"/>
      <w:marRight w:val="0"/>
      <w:marTop w:val="0"/>
      <w:marBottom w:val="0"/>
      <w:divBdr>
        <w:top w:val="none" w:sz="0" w:space="0" w:color="auto"/>
        <w:left w:val="none" w:sz="0" w:space="0" w:color="auto"/>
        <w:bottom w:val="none" w:sz="0" w:space="0" w:color="auto"/>
        <w:right w:val="none" w:sz="0" w:space="0" w:color="auto"/>
      </w:divBdr>
    </w:div>
    <w:div w:id="976834426">
      <w:bodyDiv w:val="1"/>
      <w:marLeft w:val="0"/>
      <w:marRight w:val="0"/>
      <w:marTop w:val="0"/>
      <w:marBottom w:val="0"/>
      <w:divBdr>
        <w:top w:val="none" w:sz="0" w:space="0" w:color="auto"/>
        <w:left w:val="none" w:sz="0" w:space="0" w:color="auto"/>
        <w:bottom w:val="none" w:sz="0" w:space="0" w:color="auto"/>
        <w:right w:val="none" w:sz="0" w:space="0" w:color="auto"/>
      </w:divBdr>
    </w:div>
    <w:div w:id="997345064">
      <w:bodyDiv w:val="1"/>
      <w:marLeft w:val="0"/>
      <w:marRight w:val="0"/>
      <w:marTop w:val="0"/>
      <w:marBottom w:val="0"/>
      <w:divBdr>
        <w:top w:val="none" w:sz="0" w:space="0" w:color="auto"/>
        <w:left w:val="none" w:sz="0" w:space="0" w:color="auto"/>
        <w:bottom w:val="none" w:sz="0" w:space="0" w:color="auto"/>
        <w:right w:val="none" w:sz="0" w:space="0" w:color="auto"/>
      </w:divBdr>
      <w:divsChild>
        <w:div w:id="748429232">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883694">
          <w:blockQuote w:val="1"/>
          <w:marLeft w:val="720"/>
          <w:marRight w:val="720"/>
          <w:marTop w:val="100"/>
          <w:marBottom w:val="100"/>
          <w:divBdr>
            <w:top w:val="none" w:sz="0" w:space="0" w:color="auto"/>
            <w:left w:val="none" w:sz="0" w:space="0" w:color="auto"/>
            <w:bottom w:val="none" w:sz="0" w:space="0" w:color="auto"/>
            <w:right w:val="none" w:sz="0" w:space="0" w:color="auto"/>
          </w:divBdr>
        </w:div>
        <w:div w:id="2012290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4935964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688131">
          <w:blockQuote w:val="1"/>
          <w:marLeft w:val="720"/>
          <w:marRight w:val="720"/>
          <w:marTop w:val="100"/>
          <w:marBottom w:val="100"/>
          <w:divBdr>
            <w:top w:val="none" w:sz="0" w:space="0" w:color="auto"/>
            <w:left w:val="none" w:sz="0" w:space="0" w:color="auto"/>
            <w:bottom w:val="none" w:sz="0" w:space="0" w:color="auto"/>
            <w:right w:val="none" w:sz="0" w:space="0" w:color="auto"/>
          </w:divBdr>
        </w:div>
        <w:div w:id="943537721">
          <w:blockQuote w:val="1"/>
          <w:marLeft w:val="720"/>
          <w:marRight w:val="720"/>
          <w:marTop w:val="100"/>
          <w:marBottom w:val="100"/>
          <w:divBdr>
            <w:top w:val="none" w:sz="0" w:space="0" w:color="auto"/>
            <w:left w:val="none" w:sz="0" w:space="0" w:color="auto"/>
            <w:bottom w:val="none" w:sz="0" w:space="0" w:color="auto"/>
            <w:right w:val="none" w:sz="0" w:space="0" w:color="auto"/>
          </w:divBdr>
        </w:div>
        <w:div w:id="898905639">
          <w:blockQuote w:val="1"/>
          <w:marLeft w:val="720"/>
          <w:marRight w:val="720"/>
          <w:marTop w:val="100"/>
          <w:marBottom w:val="100"/>
          <w:divBdr>
            <w:top w:val="none" w:sz="0" w:space="0" w:color="auto"/>
            <w:left w:val="none" w:sz="0" w:space="0" w:color="auto"/>
            <w:bottom w:val="none" w:sz="0" w:space="0" w:color="auto"/>
            <w:right w:val="none" w:sz="0" w:space="0" w:color="auto"/>
          </w:divBdr>
        </w:div>
        <w:div w:id="25642782">
          <w:blockQuote w:val="1"/>
          <w:marLeft w:val="720"/>
          <w:marRight w:val="720"/>
          <w:marTop w:val="100"/>
          <w:marBottom w:val="100"/>
          <w:divBdr>
            <w:top w:val="none" w:sz="0" w:space="0" w:color="auto"/>
            <w:left w:val="none" w:sz="0" w:space="0" w:color="auto"/>
            <w:bottom w:val="none" w:sz="0" w:space="0" w:color="auto"/>
            <w:right w:val="none" w:sz="0" w:space="0" w:color="auto"/>
          </w:divBdr>
        </w:div>
        <w:div w:id="163579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91702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3654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6522202">
      <w:bodyDiv w:val="1"/>
      <w:marLeft w:val="0"/>
      <w:marRight w:val="0"/>
      <w:marTop w:val="0"/>
      <w:marBottom w:val="0"/>
      <w:divBdr>
        <w:top w:val="none" w:sz="0" w:space="0" w:color="auto"/>
        <w:left w:val="none" w:sz="0" w:space="0" w:color="auto"/>
        <w:bottom w:val="none" w:sz="0" w:space="0" w:color="auto"/>
        <w:right w:val="none" w:sz="0" w:space="0" w:color="auto"/>
      </w:divBdr>
    </w:div>
    <w:div w:id="1053700804">
      <w:bodyDiv w:val="1"/>
      <w:marLeft w:val="0"/>
      <w:marRight w:val="0"/>
      <w:marTop w:val="0"/>
      <w:marBottom w:val="0"/>
      <w:divBdr>
        <w:top w:val="none" w:sz="0" w:space="0" w:color="auto"/>
        <w:left w:val="none" w:sz="0" w:space="0" w:color="auto"/>
        <w:bottom w:val="none" w:sz="0" w:space="0" w:color="auto"/>
        <w:right w:val="none" w:sz="0" w:space="0" w:color="auto"/>
      </w:divBdr>
    </w:div>
    <w:div w:id="1070036080">
      <w:bodyDiv w:val="1"/>
      <w:marLeft w:val="0"/>
      <w:marRight w:val="0"/>
      <w:marTop w:val="0"/>
      <w:marBottom w:val="0"/>
      <w:divBdr>
        <w:top w:val="none" w:sz="0" w:space="0" w:color="auto"/>
        <w:left w:val="none" w:sz="0" w:space="0" w:color="auto"/>
        <w:bottom w:val="none" w:sz="0" w:space="0" w:color="auto"/>
        <w:right w:val="none" w:sz="0" w:space="0" w:color="auto"/>
      </w:divBdr>
      <w:divsChild>
        <w:div w:id="1029448508">
          <w:marLeft w:val="0"/>
          <w:marRight w:val="0"/>
          <w:marTop w:val="0"/>
          <w:marBottom w:val="0"/>
          <w:divBdr>
            <w:top w:val="none" w:sz="0" w:space="0" w:color="auto"/>
            <w:left w:val="none" w:sz="0" w:space="0" w:color="auto"/>
            <w:bottom w:val="none" w:sz="0" w:space="0" w:color="auto"/>
            <w:right w:val="none" w:sz="0" w:space="0" w:color="auto"/>
          </w:divBdr>
          <w:divsChild>
            <w:div w:id="1962303439">
              <w:marLeft w:val="0"/>
              <w:marRight w:val="0"/>
              <w:marTop w:val="0"/>
              <w:marBottom w:val="0"/>
              <w:divBdr>
                <w:top w:val="none" w:sz="0" w:space="0" w:color="auto"/>
                <w:left w:val="none" w:sz="0" w:space="0" w:color="auto"/>
                <w:bottom w:val="none" w:sz="0" w:space="0" w:color="auto"/>
                <w:right w:val="none" w:sz="0" w:space="0" w:color="auto"/>
              </w:divBdr>
              <w:divsChild>
                <w:div w:id="46894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200927">
      <w:bodyDiv w:val="1"/>
      <w:marLeft w:val="0"/>
      <w:marRight w:val="0"/>
      <w:marTop w:val="0"/>
      <w:marBottom w:val="0"/>
      <w:divBdr>
        <w:top w:val="none" w:sz="0" w:space="0" w:color="auto"/>
        <w:left w:val="none" w:sz="0" w:space="0" w:color="auto"/>
        <w:bottom w:val="none" w:sz="0" w:space="0" w:color="auto"/>
        <w:right w:val="none" w:sz="0" w:space="0" w:color="auto"/>
      </w:divBdr>
    </w:div>
    <w:div w:id="1106534335">
      <w:bodyDiv w:val="1"/>
      <w:marLeft w:val="0"/>
      <w:marRight w:val="0"/>
      <w:marTop w:val="0"/>
      <w:marBottom w:val="0"/>
      <w:divBdr>
        <w:top w:val="none" w:sz="0" w:space="0" w:color="auto"/>
        <w:left w:val="none" w:sz="0" w:space="0" w:color="auto"/>
        <w:bottom w:val="none" w:sz="0" w:space="0" w:color="auto"/>
        <w:right w:val="none" w:sz="0" w:space="0" w:color="auto"/>
      </w:divBdr>
    </w:div>
    <w:div w:id="1112869918">
      <w:bodyDiv w:val="1"/>
      <w:marLeft w:val="0"/>
      <w:marRight w:val="0"/>
      <w:marTop w:val="0"/>
      <w:marBottom w:val="0"/>
      <w:divBdr>
        <w:top w:val="none" w:sz="0" w:space="0" w:color="auto"/>
        <w:left w:val="none" w:sz="0" w:space="0" w:color="auto"/>
        <w:bottom w:val="none" w:sz="0" w:space="0" w:color="auto"/>
        <w:right w:val="none" w:sz="0" w:space="0" w:color="auto"/>
      </w:divBdr>
    </w:div>
    <w:div w:id="1115172401">
      <w:bodyDiv w:val="1"/>
      <w:marLeft w:val="0"/>
      <w:marRight w:val="0"/>
      <w:marTop w:val="0"/>
      <w:marBottom w:val="0"/>
      <w:divBdr>
        <w:top w:val="none" w:sz="0" w:space="0" w:color="auto"/>
        <w:left w:val="none" w:sz="0" w:space="0" w:color="auto"/>
        <w:bottom w:val="none" w:sz="0" w:space="0" w:color="auto"/>
        <w:right w:val="none" w:sz="0" w:space="0" w:color="auto"/>
      </w:divBdr>
    </w:div>
    <w:div w:id="1119909454">
      <w:bodyDiv w:val="1"/>
      <w:marLeft w:val="0"/>
      <w:marRight w:val="0"/>
      <w:marTop w:val="0"/>
      <w:marBottom w:val="0"/>
      <w:divBdr>
        <w:top w:val="none" w:sz="0" w:space="0" w:color="auto"/>
        <w:left w:val="none" w:sz="0" w:space="0" w:color="auto"/>
        <w:bottom w:val="none" w:sz="0" w:space="0" w:color="auto"/>
        <w:right w:val="none" w:sz="0" w:space="0" w:color="auto"/>
      </w:divBdr>
      <w:divsChild>
        <w:div w:id="284235022">
          <w:marLeft w:val="0"/>
          <w:marRight w:val="0"/>
          <w:marTop w:val="0"/>
          <w:marBottom w:val="0"/>
          <w:divBdr>
            <w:top w:val="none" w:sz="0" w:space="0" w:color="auto"/>
            <w:left w:val="none" w:sz="0" w:space="0" w:color="auto"/>
            <w:bottom w:val="none" w:sz="0" w:space="0" w:color="auto"/>
            <w:right w:val="none" w:sz="0" w:space="0" w:color="auto"/>
          </w:divBdr>
          <w:divsChild>
            <w:div w:id="74318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901367">
      <w:bodyDiv w:val="1"/>
      <w:marLeft w:val="0"/>
      <w:marRight w:val="0"/>
      <w:marTop w:val="0"/>
      <w:marBottom w:val="0"/>
      <w:divBdr>
        <w:top w:val="none" w:sz="0" w:space="0" w:color="auto"/>
        <w:left w:val="none" w:sz="0" w:space="0" w:color="auto"/>
        <w:bottom w:val="none" w:sz="0" w:space="0" w:color="auto"/>
        <w:right w:val="none" w:sz="0" w:space="0" w:color="auto"/>
      </w:divBdr>
    </w:div>
    <w:div w:id="1165166394">
      <w:bodyDiv w:val="1"/>
      <w:marLeft w:val="0"/>
      <w:marRight w:val="0"/>
      <w:marTop w:val="0"/>
      <w:marBottom w:val="0"/>
      <w:divBdr>
        <w:top w:val="none" w:sz="0" w:space="0" w:color="auto"/>
        <w:left w:val="none" w:sz="0" w:space="0" w:color="auto"/>
        <w:bottom w:val="none" w:sz="0" w:space="0" w:color="auto"/>
        <w:right w:val="none" w:sz="0" w:space="0" w:color="auto"/>
      </w:divBdr>
    </w:div>
    <w:div w:id="1169371157">
      <w:bodyDiv w:val="1"/>
      <w:marLeft w:val="0"/>
      <w:marRight w:val="0"/>
      <w:marTop w:val="0"/>
      <w:marBottom w:val="0"/>
      <w:divBdr>
        <w:top w:val="none" w:sz="0" w:space="0" w:color="auto"/>
        <w:left w:val="none" w:sz="0" w:space="0" w:color="auto"/>
        <w:bottom w:val="none" w:sz="0" w:space="0" w:color="auto"/>
        <w:right w:val="none" w:sz="0" w:space="0" w:color="auto"/>
      </w:divBdr>
    </w:div>
    <w:div w:id="1193807301">
      <w:bodyDiv w:val="1"/>
      <w:marLeft w:val="0"/>
      <w:marRight w:val="0"/>
      <w:marTop w:val="0"/>
      <w:marBottom w:val="0"/>
      <w:divBdr>
        <w:top w:val="none" w:sz="0" w:space="0" w:color="auto"/>
        <w:left w:val="none" w:sz="0" w:space="0" w:color="auto"/>
        <w:bottom w:val="none" w:sz="0" w:space="0" w:color="auto"/>
        <w:right w:val="none" w:sz="0" w:space="0" w:color="auto"/>
      </w:divBdr>
    </w:div>
    <w:div w:id="1199707973">
      <w:bodyDiv w:val="1"/>
      <w:marLeft w:val="0"/>
      <w:marRight w:val="0"/>
      <w:marTop w:val="0"/>
      <w:marBottom w:val="0"/>
      <w:divBdr>
        <w:top w:val="none" w:sz="0" w:space="0" w:color="auto"/>
        <w:left w:val="none" w:sz="0" w:space="0" w:color="auto"/>
        <w:bottom w:val="none" w:sz="0" w:space="0" w:color="auto"/>
        <w:right w:val="none" w:sz="0" w:space="0" w:color="auto"/>
      </w:divBdr>
    </w:div>
    <w:div w:id="1242566721">
      <w:bodyDiv w:val="1"/>
      <w:marLeft w:val="0"/>
      <w:marRight w:val="0"/>
      <w:marTop w:val="0"/>
      <w:marBottom w:val="0"/>
      <w:divBdr>
        <w:top w:val="none" w:sz="0" w:space="0" w:color="auto"/>
        <w:left w:val="none" w:sz="0" w:space="0" w:color="auto"/>
        <w:bottom w:val="none" w:sz="0" w:space="0" w:color="auto"/>
        <w:right w:val="none" w:sz="0" w:space="0" w:color="auto"/>
      </w:divBdr>
    </w:div>
    <w:div w:id="1247573939">
      <w:bodyDiv w:val="1"/>
      <w:marLeft w:val="0"/>
      <w:marRight w:val="0"/>
      <w:marTop w:val="0"/>
      <w:marBottom w:val="0"/>
      <w:divBdr>
        <w:top w:val="none" w:sz="0" w:space="0" w:color="auto"/>
        <w:left w:val="none" w:sz="0" w:space="0" w:color="auto"/>
        <w:bottom w:val="none" w:sz="0" w:space="0" w:color="auto"/>
        <w:right w:val="none" w:sz="0" w:space="0" w:color="auto"/>
      </w:divBdr>
      <w:divsChild>
        <w:div w:id="398749779">
          <w:marLeft w:val="0"/>
          <w:marRight w:val="0"/>
          <w:marTop w:val="0"/>
          <w:marBottom w:val="0"/>
          <w:divBdr>
            <w:top w:val="none" w:sz="0" w:space="0" w:color="auto"/>
            <w:left w:val="none" w:sz="0" w:space="0" w:color="auto"/>
            <w:bottom w:val="none" w:sz="0" w:space="0" w:color="auto"/>
            <w:right w:val="none" w:sz="0" w:space="0" w:color="auto"/>
          </w:divBdr>
          <w:divsChild>
            <w:div w:id="40627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934202">
      <w:bodyDiv w:val="1"/>
      <w:marLeft w:val="0"/>
      <w:marRight w:val="0"/>
      <w:marTop w:val="0"/>
      <w:marBottom w:val="0"/>
      <w:divBdr>
        <w:top w:val="none" w:sz="0" w:space="0" w:color="auto"/>
        <w:left w:val="none" w:sz="0" w:space="0" w:color="auto"/>
        <w:bottom w:val="none" w:sz="0" w:space="0" w:color="auto"/>
        <w:right w:val="none" w:sz="0" w:space="0" w:color="auto"/>
      </w:divBdr>
    </w:div>
    <w:div w:id="1274048809">
      <w:bodyDiv w:val="1"/>
      <w:marLeft w:val="0"/>
      <w:marRight w:val="0"/>
      <w:marTop w:val="0"/>
      <w:marBottom w:val="0"/>
      <w:divBdr>
        <w:top w:val="none" w:sz="0" w:space="0" w:color="auto"/>
        <w:left w:val="none" w:sz="0" w:space="0" w:color="auto"/>
        <w:bottom w:val="none" w:sz="0" w:space="0" w:color="auto"/>
        <w:right w:val="none" w:sz="0" w:space="0" w:color="auto"/>
      </w:divBdr>
    </w:div>
    <w:div w:id="1288970440">
      <w:bodyDiv w:val="1"/>
      <w:marLeft w:val="0"/>
      <w:marRight w:val="0"/>
      <w:marTop w:val="0"/>
      <w:marBottom w:val="0"/>
      <w:divBdr>
        <w:top w:val="none" w:sz="0" w:space="0" w:color="auto"/>
        <w:left w:val="none" w:sz="0" w:space="0" w:color="auto"/>
        <w:bottom w:val="none" w:sz="0" w:space="0" w:color="auto"/>
        <w:right w:val="none" w:sz="0" w:space="0" w:color="auto"/>
      </w:divBdr>
    </w:div>
    <w:div w:id="1308166608">
      <w:bodyDiv w:val="1"/>
      <w:marLeft w:val="0"/>
      <w:marRight w:val="0"/>
      <w:marTop w:val="0"/>
      <w:marBottom w:val="0"/>
      <w:divBdr>
        <w:top w:val="none" w:sz="0" w:space="0" w:color="auto"/>
        <w:left w:val="none" w:sz="0" w:space="0" w:color="auto"/>
        <w:bottom w:val="none" w:sz="0" w:space="0" w:color="auto"/>
        <w:right w:val="none" w:sz="0" w:space="0" w:color="auto"/>
      </w:divBdr>
    </w:div>
    <w:div w:id="1312783947">
      <w:bodyDiv w:val="1"/>
      <w:marLeft w:val="0"/>
      <w:marRight w:val="0"/>
      <w:marTop w:val="0"/>
      <w:marBottom w:val="0"/>
      <w:divBdr>
        <w:top w:val="none" w:sz="0" w:space="0" w:color="auto"/>
        <w:left w:val="none" w:sz="0" w:space="0" w:color="auto"/>
        <w:bottom w:val="none" w:sz="0" w:space="0" w:color="auto"/>
        <w:right w:val="none" w:sz="0" w:space="0" w:color="auto"/>
      </w:divBdr>
    </w:div>
    <w:div w:id="1315061839">
      <w:bodyDiv w:val="1"/>
      <w:marLeft w:val="0"/>
      <w:marRight w:val="0"/>
      <w:marTop w:val="0"/>
      <w:marBottom w:val="0"/>
      <w:divBdr>
        <w:top w:val="none" w:sz="0" w:space="0" w:color="auto"/>
        <w:left w:val="none" w:sz="0" w:space="0" w:color="auto"/>
        <w:bottom w:val="none" w:sz="0" w:space="0" w:color="auto"/>
        <w:right w:val="none" w:sz="0" w:space="0" w:color="auto"/>
      </w:divBdr>
    </w:div>
    <w:div w:id="1316683953">
      <w:bodyDiv w:val="1"/>
      <w:marLeft w:val="0"/>
      <w:marRight w:val="0"/>
      <w:marTop w:val="0"/>
      <w:marBottom w:val="0"/>
      <w:divBdr>
        <w:top w:val="none" w:sz="0" w:space="0" w:color="auto"/>
        <w:left w:val="none" w:sz="0" w:space="0" w:color="auto"/>
        <w:bottom w:val="none" w:sz="0" w:space="0" w:color="auto"/>
        <w:right w:val="none" w:sz="0" w:space="0" w:color="auto"/>
      </w:divBdr>
    </w:div>
    <w:div w:id="1327589552">
      <w:bodyDiv w:val="1"/>
      <w:marLeft w:val="0"/>
      <w:marRight w:val="0"/>
      <w:marTop w:val="0"/>
      <w:marBottom w:val="0"/>
      <w:divBdr>
        <w:top w:val="none" w:sz="0" w:space="0" w:color="auto"/>
        <w:left w:val="none" w:sz="0" w:space="0" w:color="auto"/>
        <w:bottom w:val="none" w:sz="0" w:space="0" w:color="auto"/>
        <w:right w:val="none" w:sz="0" w:space="0" w:color="auto"/>
      </w:divBdr>
      <w:divsChild>
        <w:div w:id="991643652">
          <w:marLeft w:val="0"/>
          <w:marRight w:val="0"/>
          <w:marTop w:val="0"/>
          <w:marBottom w:val="0"/>
          <w:divBdr>
            <w:top w:val="none" w:sz="0" w:space="0" w:color="auto"/>
            <w:left w:val="none" w:sz="0" w:space="0" w:color="auto"/>
            <w:bottom w:val="none" w:sz="0" w:space="0" w:color="auto"/>
            <w:right w:val="none" w:sz="0" w:space="0" w:color="auto"/>
          </w:divBdr>
          <w:divsChild>
            <w:div w:id="1751005323">
              <w:marLeft w:val="0"/>
              <w:marRight w:val="0"/>
              <w:marTop w:val="0"/>
              <w:marBottom w:val="0"/>
              <w:divBdr>
                <w:top w:val="none" w:sz="0" w:space="0" w:color="auto"/>
                <w:left w:val="none" w:sz="0" w:space="0" w:color="auto"/>
                <w:bottom w:val="none" w:sz="0" w:space="0" w:color="auto"/>
                <w:right w:val="none" w:sz="0" w:space="0" w:color="auto"/>
              </w:divBdr>
              <w:divsChild>
                <w:div w:id="1815485975">
                  <w:marLeft w:val="0"/>
                  <w:marRight w:val="0"/>
                  <w:marTop w:val="0"/>
                  <w:marBottom w:val="0"/>
                  <w:divBdr>
                    <w:top w:val="none" w:sz="0" w:space="0" w:color="auto"/>
                    <w:left w:val="none" w:sz="0" w:space="0" w:color="auto"/>
                    <w:bottom w:val="none" w:sz="0" w:space="0" w:color="auto"/>
                    <w:right w:val="none" w:sz="0" w:space="0" w:color="auto"/>
                  </w:divBdr>
                  <w:divsChild>
                    <w:div w:id="195154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222190">
      <w:bodyDiv w:val="1"/>
      <w:marLeft w:val="0"/>
      <w:marRight w:val="0"/>
      <w:marTop w:val="0"/>
      <w:marBottom w:val="0"/>
      <w:divBdr>
        <w:top w:val="none" w:sz="0" w:space="0" w:color="auto"/>
        <w:left w:val="none" w:sz="0" w:space="0" w:color="auto"/>
        <w:bottom w:val="none" w:sz="0" w:space="0" w:color="auto"/>
        <w:right w:val="none" w:sz="0" w:space="0" w:color="auto"/>
      </w:divBdr>
    </w:div>
    <w:div w:id="1377854281">
      <w:bodyDiv w:val="1"/>
      <w:marLeft w:val="0"/>
      <w:marRight w:val="0"/>
      <w:marTop w:val="0"/>
      <w:marBottom w:val="0"/>
      <w:divBdr>
        <w:top w:val="none" w:sz="0" w:space="0" w:color="auto"/>
        <w:left w:val="none" w:sz="0" w:space="0" w:color="auto"/>
        <w:bottom w:val="none" w:sz="0" w:space="0" w:color="auto"/>
        <w:right w:val="none" w:sz="0" w:space="0" w:color="auto"/>
      </w:divBdr>
      <w:divsChild>
        <w:div w:id="109203390">
          <w:marLeft w:val="0"/>
          <w:marRight w:val="0"/>
          <w:marTop w:val="0"/>
          <w:marBottom w:val="0"/>
          <w:divBdr>
            <w:top w:val="none" w:sz="0" w:space="0" w:color="auto"/>
            <w:left w:val="none" w:sz="0" w:space="0" w:color="auto"/>
            <w:bottom w:val="none" w:sz="0" w:space="0" w:color="auto"/>
            <w:right w:val="none" w:sz="0" w:space="0" w:color="auto"/>
          </w:divBdr>
          <w:divsChild>
            <w:div w:id="193883227">
              <w:marLeft w:val="0"/>
              <w:marRight w:val="0"/>
              <w:marTop w:val="0"/>
              <w:marBottom w:val="0"/>
              <w:divBdr>
                <w:top w:val="none" w:sz="0" w:space="0" w:color="auto"/>
                <w:left w:val="none" w:sz="0" w:space="0" w:color="auto"/>
                <w:bottom w:val="none" w:sz="0" w:space="0" w:color="auto"/>
                <w:right w:val="none" w:sz="0" w:space="0" w:color="auto"/>
              </w:divBdr>
              <w:divsChild>
                <w:div w:id="85966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676048">
      <w:bodyDiv w:val="1"/>
      <w:marLeft w:val="0"/>
      <w:marRight w:val="0"/>
      <w:marTop w:val="0"/>
      <w:marBottom w:val="0"/>
      <w:divBdr>
        <w:top w:val="none" w:sz="0" w:space="0" w:color="auto"/>
        <w:left w:val="none" w:sz="0" w:space="0" w:color="auto"/>
        <w:bottom w:val="none" w:sz="0" w:space="0" w:color="auto"/>
        <w:right w:val="none" w:sz="0" w:space="0" w:color="auto"/>
      </w:divBdr>
    </w:div>
    <w:div w:id="1389842680">
      <w:bodyDiv w:val="1"/>
      <w:marLeft w:val="0"/>
      <w:marRight w:val="0"/>
      <w:marTop w:val="0"/>
      <w:marBottom w:val="0"/>
      <w:divBdr>
        <w:top w:val="none" w:sz="0" w:space="0" w:color="auto"/>
        <w:left w:val="none" w:sz="0" w:space="0" w:color="auto"/>
        <w:bottom w:val="none" w:sz="0" w:space="0" w:color="auto"/>
        <w:right w:val="none" w:sz="0" w:space="0" w:color="auto"/>
      </w:divBdr>
    </w:div>
    <w:div w:id="1394499587">
      <w:bodyDiv w:val="1"/>
      <w:marLeft w:val="0"/>
      <w:marRight w:val="0"/>
      <w:marTop w:val="0"/>
      <w:marBottom w:val="0"/>
      <w:divBdr>
        <w:top w:val="none" w:sz="0" w:space="0" w:color="auto"/>
        <w:left w:val="none" w:sz="0" w:space="0" w:color="auto"/>
        <w:bottom w:val="none" w:sz="0" w:space="0" w:color="auto"/>
        <w:right w:val="none" w:sz="0" w:space="0" w:color="auto"/>
      </w:divBdr>
    </w:div>
    <w:div w:id="1419788895">
      <w:bodyDiv w:val="1"/>
      <w:marLeft w:val="0"/>
      <w:marRight w:val="0"/>
      <w:marTop w:val="0"/>
      <w:marBottom w:val="0"/>
      <w:divBdr>
        <w:top w:val="none" w:sz="0" w:space="0" w:color="auto"/>
        <w:left w:val="none" w:sz="0" w:space="0" w:color="auto"/>
        <w:bottom w:val="none" w:sz="0" w:space="0" w:color="auto"/>
        <w:right w:val="none" w:sz="0" w:space="0" w:color="auto"/>
      </w:divBdr>
      <w:divsChild>
        <w:div w:id="65387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167818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02783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0483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1061479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1297723">
      <w:bodyDiv w:val="1"/>
      <w:marLeft w:val="0"/>
      <w:marRight w:val="0"/>
      <w:marTop w:val="0"/>
      <w:marBottom w:val="0"/>
      <w:divBdr>
        <w:top w:val="none" w:sz="0" w:space="0" w:color="auto"/>
        <w:left w:val="none" w:sz="0" w:space="0" w:color="auto"/>
        <w:bottom w:val="none" w:sz="0" w:space="0" w:color="auto"/>
        <w:right w:val="none" w:sz="0" w:space="0" w:color="auto"/>
      </w:divBdr>
    </w:div>
    <w:div w:id="1432318956">
      <w:bodyDiv w:val="1"/>
      <w:marLeft w:val="0"/>
      <w:marRight w:val="0"/>
      <w:marTop w:val="0"/>
      <w:marBottom w:val="0"/>
      <w:divBdr>
        <w:top w:val="none" w:sz="0" w:space="0" w:color="auto"/>
        <w:left w:val="none" w:sz="0" w:space="0" w:color="auto"/>
        <w:bottom w:val="none" w:sz="0" w:space="0" w:color="auto"/>
        <w:right w:val="none" w:sz="0" w:space="0" w:color="auto"/>
      </w:divBdr>
    </w:div>
    <w:div w:id="1434931853">
      <w:bodyDiv w:val="1"/>
      <w:marLeft w:val="0"/>
      <w:marRight w:val="0"/>
      <w:marTop w:val="0"/>
      <w:marBottom w:val="0"/>
      <w:divBdr>
        <w:top w:val="none" w:sz="0" w:space="0" w:color="auto"/>
        <w:left w:val="none" w:sz="0" w:space="0" w:color="auto"/>
        <w:bottom w:val="none" w:sz="0" w:space="0" w:color="auto"/>
        <w:right w:val="none" w:sz="0" w:space="0" w:color="auto"/>
      </w:divBdr>
      <w:divsChild>
        <w:div w:id="55322986">
          <w:marLeft w:val="0"/>
          <w:marRight w:val="0"/>
          <w:marTop w:val="0"/>
          <w:marBottom w:val="0"/>
          <w:divBdr>
            <w:top w:val="none" w:sz="0" w:space="0" w:color="auto"/>
            <w:left w:val="none" w:sz="0" w:space="0" w:color="auto"/>
            <w:bottom w:val="none" w:sz="0" w:space="0" w:color="auto"/>
            <w:right w:val="none" w:sz="0" w:space="0" w:color="auto"/>
          </w:divBdr>
          <w:divsChild>
            <w:div w:id="1955399951">
              <w:marLeft w:val="0"/>
              <w:marRight w:val="0"/>
              <w:marTop w:val="0"/>
              <w:marBottom w:val="0"/>
              <w:divBdr>
                <w:top w:val="none" w:sz="0" w:space="0" w:color="auto"/>
                <w:left w:val="none" w:sz="0" w:space="0" w:color="auto"/>
                <w:bottom w:val="none" w:sz="0" w:space="0" w:color="auto"/>
                <w:right w:val="none" w:sz="0" w:space="0" w:color="auto"/>
              </w:divBdr>
              <w:divsChild>
                <w:div w:id="5093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803316">
      <w:bodyDiv w:val="1"/>
      <w:marLeft w:val="0"/>
      <w:marRight w:val="0"/>
      <w:marTop w:val="0"/>
      <w:marBottom w:val="0"/>
      <w:divBdr>
        <w:top w:val="none" w:sz="0" w:space="0" w:color="auto"/>
        <w:left w:val="none" w:sz="0" w:space="0" w:color="auto"/>
        <w:bottom w:val="none" w:sz="0" w:space="0" w:color="auto"/>
        <w:right w:val="none" w:sz="0" w:space="0" w:color="auto"/>
      </w:divBdr>
    </w:div>
    <w:div w:id="1483740271">
      <w:bodyDiv w:val="1"/>
      <w:marLeft w:val="0"/>
      <w:marRight w:val="0"/>
      <w:marTop w:val="0"/>
      <w:marBottom w:val="0"/>
      <w:divBdr>
        <w:top w:val="none" w:sz="0" w:space="0" w:color="auto"/>
        <w:left w:val="none" w:sz="0" w:space="0" w:color="auto"/>
        <w:bottom w:val="none" w:sz="0" w:space="0" w:color="auto"/>
        <w:right w:val="none" w:sz="0" w:space="0" w:color="auto"/>
      </w:divBdr>
      <w:divsChild>
        <w:div w:id="1693142687">
          <w:blockQuote w:val="1"/>
          <w:marLeft w:val="720"/>
          <w:marRight w:val="720"/>
          <w:marTop w:val="100"/>
          <w:marBottom w:val="100"/>
          <w:divBdr>
            <w:top w:val="none" w:sz="0" w:space="0" w:color="auto"/>
            <w:left w:val="none" w:sz="0" w:space="0" w:color="auto"/>
            <w:bottom w:val="none" w:sz="0" w:space="0" w:color="auto"/>
            <w:right w:val="none" w:sz="0" w:space="0" w:color="auto"/>
          </w:divBdr>
        </w:div>
        <w:div w:id="1018314563">
          <w:blockQuote w:val="1"/>
          <w:marLeft w:val="720"/>
          <w:marRight w:val="720"/>
          <w:marTop w:val="100"/>
          <w:marBottom w:val="100"/>
          <w:divBdr>
            <w:top w:val="none" w:sz="0" w:space="0" w:color="auto"/>
            <w:left w:val="none" w:sz="0" w:space="0" w:color="auto"/>
            <w:bottom w:val="none" w:sz="0" w:space="0" w:color="auto"/>
            <w:right w:val="none" w:sz="0" w:space="0" w:color="auto"/>
          </w:divBdr>
        </w:div>
        <w:div w:id="21414169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9785219">
      <w:bodyDiv w:val="1"/>
      <w:marLeft w:val="0"/>
      <w:marRight w:val="0"/>
      <w:marTop w:val="0"/>
      <w:marBottom w:val="0"/>
      <w:divBdr>
        <w:top w:val="none" w:sz="0" w:space="0" w:color="auto"/>
        <w:left w:val="none" w:sz="0" w:space="0" w:color="auto"/>
        <w:bottom w:val="none" w:sz="0" w:space="0" w:color="auto"/>
        <w:right w:val="none" w:sz="0" w:space="0" w:color="auto"/>
      </w:divBdr>
      <w:divsChild>
        <w:div w:id="1604806448">
          <w:marLeft w:val="0"/>
          <w:marRight w:val="0"/>
          <w:marTop w:val="0"/>
          <w:marBottom w:val="0"/>
          <w:divBdr>
            <w:top w:val="none" w:sz="0" w:space="0" w:color="auto"/>
            <w:left w:val="none" w:sz="0" w:space="0" w:color="auto"/>
            <w:bottom w:val="none" w:sz="0" w:space="0" w:color="auto"/>
            <w:right w:val="none" w:sz="0" w:space="0" w:color="auto"/>
          </w:divBdr>
          <w:divsChild>
            <w:div w:id="2140952180">
              <w:marLeft w:val="0"/>
              <w:marRight w:val="0"/>
              <w:marTop w:val="0"/>
              <w:marBottom w:val="0"/>
              <w:divBdr>
                <w:top w:val="none" w:sz="0" w:space="0" w:color="auto"/>
                <w:left w:val="none" w:sz="0" w:space="0" w:color="auto"/>
                <w:bottom w:val="none" w:sz="0" w:space="0" w:color="auto"/>
                <w:right w:val="none" w:sz="0" w:space="0" w:color="auto"/>
              </w:divBdr>
              <w:divsChild>
                <w:div w:id="1101531143">
                  <w:marLeft w:val="0"/>
                  <w:marRight w:val="0"/>
                  <w:marTop w:val="0"/>
                  <w:marBottom w:val="0"/>
                  <w:divBdr>
                    <w:top w:val="none" w:sz="0" w:space="0" w:color="auto"/>
                    <w:left w:val="none" w:sz="0" w:space="0" w:color="auto"/>
                    <w:bottom w:val="none" w:sz="0" w:space="0" w:color="auto"/>
                    <w:right w:val="none" w:sz="0" w:space="0" w:color="auto"/>
                  </w:divBdr>
                </w:div>
              </w:divsChild>
            </w:div>
            <w:div w:id="1634171158">
              <w:marLeft w:val="0"/>
              <w:marRight w:val="0"/>
              <w:marTop w:val="0"/>
              <w:marBottom w:val="0"/>
              <w:divBdr>
                <w:top w:val="none" w:sz="0" w:space="0" w:color="auto"/>
                <w:left w:val="none" w:sz="0" w:space="0" w:color="auto"/>
                <w:bottom w:val="none" w:sz="0" w:space="0" w:color="auto"/>
                <w:right w:val="none" w:sz="0" w:space="0" w:color="auto"/>
              </w:divBdr>
              <w:divsChild>
                <w:div w:id="91477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579439">
          <w:marLeft w:val="0"/>
          <w:marRight w:val="0"/>
          <w:marTop w:val="0"/>
          <w:marBottom w:val="0"/>
          <w:divBdr>
            <w:top w:val="none" w:sz="0" w:space="0" w:color="auto"/>
            <w:left w:val="none" w:sz="0" w:space="0" w:color="auto"/>
            <w:bottom w:val="none" w:sz="0" w:space="0" w:color="auto"/>
            <w:right w:val="none" w:sz="0" w:space="0" w:color="auto"/>
          </w:divBdr>
          <w:divsChild>
            <w:div w:id="1480339989">
              <w:marLeft w:val="0"/>
              <w:marRight w:val="0"/>
              <w:marTop w:val="0"/>
              <w:marBottom w:val="0"/>
              <w:divBdr>
                <w:top w:val="none" w:sz="0" w:space="0" w:color="auto"/>
                <w:left w:val="none" w:sz="0" w:space="0" w:color="auto"/>
                <w:bottom w:val="none" w:sz="0" w:space="0" w:color="auto"/>
                <w:right w:val="none" w:sz="0" w:space="0" w:color="auto"/>
              </w:divBdr>
            </w:div>
          </w:divsChild>
        </w:div>
        <w:div w:id="1811047151">
          <w:marLeft w:val="0"/>
          <w:marRight w:val="0"/>
          <w:marTop w:val="0"/>
          <w:marBottom w:val="0"/>
          <w:divBdr>
            <w:top w:val="none" w:sz="0" w:space="0" w:color="auto"/>
            <w:left w:val="none" w:sz="0" w:space="0" w:color="auto"/>
            <w:bottom w:val="none" w:sz="0" w:space="0" w:color="auto"/>
            <w:right w:val="none" w:sz="0" w:space="0" w:color="auto"/>
          </w:divBdr>
          <w:divsChild>
            <w:div w:id="1893300459">
              <w:marLeft w:val="0"/>
              <w:marRight w:val="0"/>
              <w:marTop w:val="0"/>
              <w:marBottom w:val="0"/>
              <w:divBdr>
                <w:top w:val="none" w:sz="0" w:space="0" w:color="auto"/>
                <w:left w:val="none" w:sz="0" w:space="0" w:color="auto"/>
                <w:bottom w:val="none" w:sz="0" w:space="0" w:color="auto"/>
                <w:right w:val="none" w:sz="0" w:space="0" w:color="auto"/>
              </w:divBdr>
            </w:div>
          </w:divsChild>
        </w:div>
        <w:div w:id="441416195">
          <w:marLeft w:val="0"/>
          <w:marRight w:val="0"/>
          <w:marTop w:val="0"/>
          <w:marBottom w:val="0"/>
          <w:divBdr>
            <w:top w:val="none" w:sz="0" w:space="0" w:color="auto"/>
            <w:left w:val="none" w:sz="0" w:space="0" w:color="auto"/>
            <w:bottom w:val="none" w:sz="0" w:space="0" w:color="auto"/>
            <w:right w:val="none" w:sz="0" w:space="0" w:color="auto"/>
          </w:divBdr>
          <w:divsChild>
            <w:div w:id="718668526">
              <w:marLeft w:val="0"/>
              <w:marRight w:val="0"/>
              <w:marTop w:val="0"/>
              <w:marBottom w:val="0"/>
              <w:divBdr>
                <w:top w:val="none" w:sz="0" w:space="0" w:color="auto"/>
                <w:left w:val="none" w:sz="0" w:space="0" w:color="auto"/>
                <w:bottom w:val="none" w:sz="0" w:space="0" w:color="auto"/>
                <w:right w:val="none" w:sz="0" w:space="0" w:color="auto"/>
              </w:divBdr>
              <w:divsChild>
                <w:div w:id="299187515">
                  <w:marLeft w:val="0"/>
                  <w:marRight w:val="0"/>
                  <w:marTop w:val="0"/>
                  <w:marBottom w:val="0"/>
                  <w:divBdr>
                    <w:top w:val="none" w:sz="0" w:space="0" w:color="auto"/>
                    <w:left w:val="none" w:sz="0" w:space="0" w:color="auto"/>
                    <w:bottom w:val="none" w:sz="0" w:space="0" w:color="auto"/>
                    <w:right w:val="none" w:sz="0" w:space="0" w:color="auto"/>
                  </w:divBdr>
                </w:div>
              </w:divsChild>
            </w:div>
            <w:div w:id="1951358233">
              <w:marLeft w:val="0"/>
              <w:marRight w:val="0"/>
              <w:marTop w:val="0"/>
              <w:marBottom w:val="0"/>
              <w:divBdr>
                <w:top w:val="none" w:sz="0" w:space="0" w:color="auto"/>
                <w:left w:val="none" w:sz="0" w:space="0" w:color="auto"/>
                <w:bottom w:val="none" w:sz="0" w:space="0" w:color="auto"/>
                <w:right w:val="none" w:sz="0" w:space="0" w:color="auto"/>
              </w:divBdr>
              <w:divsChild>
                <w:div w:id="200751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473053">
          <w:marLeft w:val="0"/>
          <w:marRight w:val="0"/>
          <w:marTop w:val="0"/>
          <w:marBottom w:val="0"/>
          <w:divBdr>
            <w:top w:val="none" w:sz="0" w:space="0" w:color="auto"/>
            <w:left w:val="none" w:sz="0" w:space="0" w:color="auto"/>
            <w:bottom w:val="none" w:sz="0" w:space="0" w:color="auto"/>
            <w:right w:val="none" w:sz="0" w:space="0" w:color="auto"/>
          </w:divBdr>
          <w:divsChild>
            <w:div w:id="151260564">
              <w:marLeft w:val="0"/>
              <w:marRight w:val="0"/>
              <w:marTop w:val="0"/>
              <w:marBottom w:val="0"/>
              <w:divBdr>
                <w:top w:val="none" w:sz="0" w:space="0" w:color="auto"/>
                <w:left w:val="none" w:sz="0" w:space="0" w:color="auto"/>
                <w:bottom w:val="none" w:sz="0" w:space="0" w:color="auto"/>
                <w:right w:val="none" w:sz="0" w:space="0" w:color="auto"/>
              </w:divBdr>
            </w:div>
          </w:divsChild>
        </w:div>
        <w:div w:id="373433216">
          <w:marLeft w:val="0"/>
          <w:marRight w:val="0"/>
          <w:marTop w:val="0"/>
          <w:marBottom w:val="0"/>
          <w:divBdr>
            <w:top w:val="none" w:sz="0" w:space="0" w:color="auto"/>
            <w:left w:val="none" w:sz="0" w:space="0" w:color="auto"/>
            <w:bottom w:val="none" w:sz="0" w:space="0" w:color="auto"/>
            <w:right w:val="none" w:sz="0" w:space="0" w:color="auto"/>
          </w:divBdr>
          <w:divsChild>
            <w:div w:id="1502348749">
              <w:marLeft w:val="0"/>
              <w:marRight w:val="0"/>
              <w:marTop w:val="0"/>
              <w:marBottom w:val="0"/>
              <w:divBdr>
                <w:top w:val="none" w:sz="0" w:space="0" w:color="auto"/>
                <w:left w:val="none" w:sz="0" w:space="0" w:color="auto"/>
                <w:bottom w:val="none" w:sz="0" w:space="0" w:color="auto"/>
                <w:right w:val="none" w:sz="0" w:space="0" w:color="auto"/>
              </w:divBdr>
            </w:div>
          </w:divsChild>
        </w:div>
        <w:div w:id="115105653">
          <w:marLeft w:val="0"/>
          <w:marRight w:val="0"/>
          <w:marTop w:val="0"/>
          <w:marBottom w:val="0"/>
          <w:divBdr>
            <w:top w:val="none" w:sz="0" w:space="0" w:color="auto"/>
            <w:left w:val="none" w:sz="0" w:space="0" w:color="auto"/>
            <w:bottom w:val="none" w:sz="0" w:space="0" w:color="auto"/>
            <w:right w:val="none" w:sz="0" w:space="0" w:color="auto"/>
          </w:divBdr>
          <w:divsChild>
            <w:div w:id="985622601">
              <w:marLeft w:val="0"/>
              <w:marRight w:val="0"/>
              <w:marTop w:val="0"/>
              <w:marBottom w:val="0"/>
              <w:divBdr>
                <w:top w:val="none" w:sz="0" w:space="0" w:color="auto"/>
                <w:left w:val="none" w:sz="0" w:space="0" w:color="auto"/>
                <w:bottom w:val="none" w:sz="0" w:space="0" w:color="auto"/>
                <w:right w:val="none" w:sz="0" w:space="0" w:color="auto"/>
              </w:divBdr>
              <w:divsChild>
                <w:div w:id="1733120030">
                  <w:marLeft w:val="0"/>
                  <w:marRight w:val="0"/>
                  <w:marTop w:val="0"/>
                  <w:marBottom w:val="0"/>
                  <w:divBdr>
                    <w:top w:val="none" w:sz="0" w:space="0" w:color="auto"/>
                    <w:left w:val="none" w:sz="0" w:space="0" w:color="auto"/>
                    <w:bottom w:val="none" w:sz="0" w:space="0" w:color="auto"/>
                    <w:right w:val="none" w:sz="0" w:space="0" w:color="auto"/>
                  </w:divBdr>
                </w:div>
              </w:divsChild>
            </w:div>
            <w:div w:id="1367561249">
              <w:marLeft w:val="0"/>
              <w:marRight w:val="0"/>
              <w:marTop w:val="0"/>
              <w:marBottom w:val="0"/>
              <w:divBdr>
                <w:top w:val="none" w:sz="0" w:space="0" w:color="auto"/>
                <w:left w:val="none" w:sz="0" w:space="0" w:color="auto"/>
                <w:bottom w:val="none" w:sz="0" w:space="0" w:color="auto"/>
                <w:right w:val="none" w:sz="0" w:space="0" w:color="auto"/>
              </w:divBdr>
              <w:divsChild>
                <w:div w:id="1534001571">
                  <w:marLeft w:val="0"/>
                  <w:marRight w:val="0"/>
                  <w:marTop w:val="0"/>
                  <w:marBottom w:val="0"/>
                  <w:divBdr>
                    <w:top w:val="none" w:sz="0" w:space="0" w:color="auto"/>
                    <w:left w:val="none" w:sz="0" w:space="0" w:color="auto"/>
                    <w:bottom w:val="none" w:sz="0" w:space="0" w:color="auto"/>
                    <w:right w:val="none" w:sz="0" w:space="0" w:color="auto"/>
                  </w:divBdr>
                </w:div>
                <w:div w:id="116034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374132">
          <w:marLeft w:val="0"/>
          <w:marRight w:val="0"/>
          <w:marTop w:val="0"/>
          <w:marBottom w:val="0"/>
          <w:divBdr>
            <w:top w:val="none" w:sz="0" w:space="0" w:color="auto"/>
            <w:left w:val="none" w:sz="0" w:space="0" w:color="auto"/>
            <w:bottom w:val="none" w:sz="0" w:space="0" w:color="auto"/>
            <w:right w:val="none" w:sz="0" w:space="0" w:color="auto"/>
          </w:divBdr>
          <w:divsChild>
            <w:div w:id="1483810274">
              <w:marLeft w:val="0"/>
              <w:marRight w:val="0"/>
              <w:marTop w:val="0"/>
              <w:marBottom w:val="0"/>
              <w:divBdr>
                <w:top w:val="none" w:sz="0" w:space="0" w:color="auto"/>
                <w:left w:val="none" w:sz="0" w:space="0" w:color="auto"/>
                <w:bottom w:val="none" w:sz="0" w:space="0" w:color="auto"/>
                <w:right w:val="none" w:sz="0" w:space="0" w:color="auto"/>
              </w:divBdr>
            </w:div>
          </w:divsChild>
        </w:div>
        <w:div w:id="1612207237">
          <w:marLeft w:val="0"/>
          <w:marRight w:val="0"/>
          <w:marTop w:val="0"/>
          <w:marBottom w:val="0"/>
          <w:divBdr>
            <w:top w:val="none" w:sz="0" w:space="0" w:color="auto"/>
            <w:left w:val="none" w:sz="0" w:space="0" w:color="auto"/>
            <w:bottom w:val="none" w:sz="0" w:space="0" w:color="auto"/>
            <w:right w:val="none" w:sz="0" w:space="0" w:color="auto"/>
          </w:divBdr>
          <w:divsChild>
            <w:div w:id="1662150669">
              <w:marLeft w:val="0"/>
              <w:marRight w:val="0"/>
              <w:marTop w:val="0"/>
              <w:marBottom w:val="0"/>
              <w:divBdr>
                <w:top w:val="none" w:sz="0" w:space="0" w:color="auto"/>
                <w:left w:val="none" w:sz="0" w:space="0" w:color="auto"/>
                <w:bottom w:val="none" w:sz="0" w:space="0" w:color="auto"/>
                <w:right w:val="none" w:sz="0" w:space="0" w:color="auto"/>
              </w:divBdr>
            </w:div>
          </w:divsChild>
        </w:div>
        <w:div w:id="1088817150">
          <w:marLeft w:val="0"/>
          <w:marRight w:val="0"/>
          <w:marTop w:val="0"/>
          <w:marBottom w:val="0"/>
          <w:divBdr>
            <w:top w:val="none" w:sz="0" w:space="0" w:color="auto"/>
            <w:left w:val="none" w:sz="0" w:space="0" w:color="auto"/>
            <w:bottom w:val="none" w:sz="0" w:space="0" w:color="auto"/>
            <w:right w:val="none" w:sz="0" w:space="0" w:color="auto"/>
          </w:divBdr>
          <w:divsChild>
            <w:div w:id="2018001433">
              <w:marLeft w:val="0"/>
              <w:marRight w:val="0"/>
              <w:marTop w:val="0"/>
              <w:marBottom w:val="0"/>
              <w:divBdr>
                <w:top w:val="none" w:sz="0" w:space="0" w:color="auto"/>
                <w:left w:val="none" w:sz="0" w:space="0" w:color="auto"/>
                <w:bottom w:val="none" w:sz="0" w:space="0" w:color="auto"/>
                <w:right w:val="none" w:sz="0" w:space="0" w:color="auto"/>
              </w:divBdr>
              <w:divsChild>
                <w:div w:id="140659250">
                  <w:marLeft w:val="0"/>
                  <w:marRight w:val="0"/>
                  <w:marTop w:val="0"/>
                  <w:marBottom w:val="0"/>
                  <w:divBdr>
                    <w:top w:val="none" w:sz="0" w:space="0" w:color="auto"/>
                    <w:left w:val="none" w:sz="0" w:space="0" w:color="auto"/>
                    <w:bottom w:val="none" w:sz="0" w:space="0" w:color="auto"/>
                    <w:right w:val="none" w:sz="0" w:space="0" w:color="auto"/>
                  </w:divBdr>
                </w:div>
              </w:divsChild>
            </w:div>
            <w:div w:id="1612009342">
              <w:marLeft w:val="0"/>
              <w:marRight w:val="0"/>
              <w:marTop w:val="0"/>
              <w:marBottom w:val="0"/>
              <w:divBdr>
                <w:top w:val="none" w:sz="0" w:space="0" w:color="auto"/>
                <w:left w:val="none" w:sz="0" w:space="0" w:color="auto"/>
                <w:bottom w:val="none" w:sz="0" w:space="0" w:color="auto"/>
                <w:right w:val="none" w:sz="0" w:space="0" w:color="auto"/>
              </w:divBdr>
              <w:divsChild>
                <w:div w:id="172413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637252">
          <w:marLeft w:val="0"/>
          <w:marRight w:val="0"/>
          <w:marTop w:val="0"/>
          <w:marBottom w:val="0"/>
          <w:divBdr>
            <w:top w:val="none" w:sz="0" w:space="0" w:color="auto"/>
            <w:left w:val="none" w:sz="0" w:space="0" w:color="auto"/>
            <w:bottom w:val="none" w:sz="0" w:space="0" w:color="auto"/>
            <w:right w:val="none" w:sz="0" w:space="0" w:color="auto"/>
          </w:divBdr>
          <w:divsChild>
            <w:div w:id="577979829">
              <w:marLeft w:val="0"/>
              <w:marRight w:val="0"/>
              <w:marTop w:val="0"/>
              <w:marBottom w:val="0"/>
              <w:divBdr>
                <w:top w:val="none" w:sz="0" w:space="0" w:color="auto"/>
                <w:left w:val="none" w:sz="0" w:space="0" w:color="auto"/>
                <w:bottom w:val="none" w:sz="0" w:space="0" w:color="auto"/>
                <w:right w:val="none" w:sz="0" w:space="0" w:color="auto"/>
              </w:divBdr>
            </w:div>
          </w:divsChild>
        </w:div>
        <w:div w:id="509027475">
          <w:marLeft w:val="0"/>
          <w:marRight w:val="0"/>
          <w:marTop w:val="0"/>
          <w:marBottom w:val="0"/>
          <w:divBdr>
            <w:top w:val="none" w:sz="0" w:space="0" w:color="auto"/>
            <w:left w:val="none" w:sz="0" w:space="0" w:color="auto"/>
            <w:bottom w:val="none" w:sz="0" w:space="0" w:color="auto"/>
            <w:right w:val="none" w:sz="0" w:space="0" w:color="auto"/>
          </w:divBdr>
          <w:divsChild>
            <w:div w:id="2121103536">
              <w:marLeft w:val="0"/>
              <w:marRight w:val="0"/>
              <w:marTop w:val="0"/>
              <w:marBottom w:val="0"/>
              <w:divBdr>
                <w:top w:val="none" w:sz="0" w:space="0" w:color="auto"/>
                <w:left w:val="none" w:sz="0" w:space="0" w:color="auto"/>
                <w:bottom w:val="none" w:sz="0" w:space="0" w:color="auto"/>
                <w:right w:val="none" w:sz="0" w:space="0" w:color="auto"/>
              </w:divBdr>
            </w:div>
          </w:divsChild>
        </w:div>
        <w:div w:id="1058360530">
          <w:marLeft w:val="0"/>
          <w:marRight w:val="0"/>
          <w:marTop w:val="0"/>
          <w:marBottom w:val="0"/>
          <w:divBdr>
            <w:top w:val="none" w:sz="0" w:space="0" w:color="auto"/>
            <w:left w:val="none" w:sz="0" w:space="0" w:color="auto"/>
            <w:bottom w:val="none" w:sz="0" w:space="0" w:color="auto"/>
            <w:right w:val="none" w:sz="0" w:space="0" w:color="auto"/>
          </w:divBdr>
          <w:divsChild>
            <w:div w:id="1892107165">
              <w:marLeft w:val="0"/>
              <w:marRight w:val="0"/>
              <w:marTop w:val="0"/>
              <w:marBottom w:val="0"/>
              <w:divBdr>
                <w:top w:val="none" w:sz="0" w:space="0" w:color="auto"/>
                <w:left w:val="none" w:sz="0" w:space="0" w:color="auto"/>
                <w:bottom w:val="none" w:sz="0" w:space="0" w:color="auto"/>
                <w:right w:val="none" w:sz="0" w:space="0" w:color="auto"/>
              </w:divBdr>
              <w:divsChild>
                <w:div w:id="562642808">
                  <w:marLeft w:val="0"/>
                  <w:marRight w:val="0"/>
                  <w:marTop w:val="0"/>
                  <w:marBottom w:val="0"/>
                  <w:divBdr>
                    <w:top w:val="none" w:sz="0" w:space="0" w:color="auto"/>
                    <w:left w:val="none" w:sz="0" w:space="0" w:color="auto"/>
                    <w:bottom w:val="none" w:sz="0" w:space="0" w:color="auto"/>
                    <w:right w:val="none" w:sz="0" w:space="0" w:color="auto"/>
                  </w:divBdr>
                </w:div>
              </w:divsChild>
            </w:div>
            <w:div w:id="1253052839">
              <w:marLeft w:val="0"/>
              <w:marRight w:val="0"/>
              <w:marTop w:val="0"/>
              <w:marBottom w:val="0"/>
              <w:divBdr>
                <w:top w:val="none" w:sz="0" w:space="0" w:color="auto"/>
                <w:left w:val="none" w:sz="0" w:space="0" w:color="auto"/>
                <w:bottom w:val="none" w:sz="0" w:space="0" w:color="auto"/>
                <w:right w:val="none" w:sz="0" w:space="0" w:color="auto"/>
              </w:divBdr>
              <w:divsChild>
                <w:div w:id="22210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298056">
          <w:marLeft w:val="0"/>
          <w:marRight w:val="0"/>
          <w:marTop w:val="0"/>
          <w:marBottom w:val="0"/>
          <w:divBdr>
            <w:top w:val="none" w:sz="0" w:space="0" w:color="auto"/>
            <w:left w:val="none" w:sz="0" w:space="0" w:color="auto"/>
            <w:bottom w:val="none" w:sz="0" w:space="0" w:color="auto"/>
            <w:right w:val="none" w:sz="0" w:space="0" w:color="auto"/>
          </w:divBdr>
          <w:divsChild>
            <w:div w:id="953175507">
              <w:marLeft w:val="0"/>
              <w:marRight w:val="0"/>
              <w:marTop w:val="0"/>
              <w:marBottom w:val="0"/>
              <w:divBdr>
                <w:top w:val="none" w:sz="0" w:space="0" w:color="auto"/>
                <w:left w:val="none" w:sz="0" w:space="0" w:color="auto"/>
                <w:bottom w:val="none" w:sz="0" w:space="0" w:color="auto"/>
                <w:right w:val="none" w:sz="0" w:space="0" w:color="auto"/>
              </w:divBdr>
            </w:div>
          </w:divsChild>
        </w:div>
        <w:div w:id="1434521559">
          <w:marLeft w:val="0"/>
          <w:marRight w:val="0"/>
          <w:marTop w:val="0"/>
          <w:marBottom w:val="0"/>
          <w:divBdr>
            <w:top w:val="none" w:sz="0" w:space="0" w:color="auto"/>
            <w:left w:val="none" w:sz="0" w:space="0" w:color="auto"/>
            <w:bottom w:val="none" w:sz="0" w:space="0" w:color="auto"/>
            <w:right w:val="none" w:sz="0" w:space="0" w:color="auto"/>
          </w:divBdr>
          <w:divsChild>
            <w:div w:id="831339089">
              <w:marLeft w:val="0"/>
              <w:marRight w:val="0"/>
              <w:marTop w:val="0"/>
              <w:marBottom w:val="0"/>
              <w:divBdr>
                <w:top w:val="none" w:sz="0" w:space="0" w:color="auto"/>
                <w:left w:val="none" w:sz="0" w:space="0" w:color="auto"/>
                <w:bottom w:val="none" w:sz="0" w:space="0" w:color="auto"/>
                <w:right w:val="none" w:sz="0" w:space="0" w:color="auto"/>
              </w:divBdr>
            </w:div>
          </w:divsChild>
        </w:div>
        <w:div w:id="1858960748">
          <w:marLeft w:val="0"/>
          <w:marRight w:val="0"/>
          <w:marTop w:val="0"/>
          <w:marBottom w:val="0"/>
          <w:divBdr>
            <w:top w:val="none" w:sz="0" w:space="0" w:color="auto"/>
            <w:left w:val="none" w:sz="0" w:space="0" w:color="auto"/>
            <w:bottom w:val="none" w:sz="0" w:space="0" w:color="auto"/>
            <w:right w:val="none" w:sz="0" w:space="0" w:color="auto"/>
          </w:divBdr>
          <w:divsChild>
            <w:div w:id="871382966">
              <w:marLeft w:val="0"/>
              <w:marRight w:val="0"/>
              <w:marTop w:val="0"/>
              <w:marBottom w:val="0"/>
              <w:divBdr>
                <w:top w:val="none" w:sz="0" w:space="0" w:color="auto"/>
                <w:left w:val="none" w:sz="0" w:space="0" w:color="auto"/>
                <w:bottom w:val="none" w:sz="0" w:space="0" w:color="auto"/>
                <w:right w:val="none" w:sz="0" w:space="0" w:color="auto"/>
              </w:divBdr>
              <w:divsChild>
                <w:div w:id="968362196">
                  <w:marLeft w:val="0"/>
                  <w:marRight w:val="0"/>
                  <w:marTop w:val="0"/>
                  <w:marBottom w:val="0"/>
                  <w:divBdr>
                    <w:top w:val="none" w:sz="0" w:space="0" w:color="auto"/>
                    <w:left w:val="none" w:sz="0" w:space="0" w:color="auto"/>
                    <w:bottom w:val="none" w:sz="0" w:space="0" w:color="auto"/>
                    <w:right w:val="none" w:sz="0" w:space="0" w:color="auto"/>
                  </w:divBdr>
                </w:div>
              </w:divsChild>
            </w:div>
            <w:div w:id="454104732">
              <w:marLeft w:val="0"/>
              <w:marRight w:val="0"/>
              <w:marTop w:val="0"/>
              <w:marBottom w:val="0"/>
              <w:divBdr>
                <w:top w:val="none" w:sz="0" w:space="0" w:color="auto"/>
                <w:left w:val="none" w:sz="0" w:space="0" w:color="auto"/>
                <w:bottom w:val="none" w:sz="0" w:space="0" w:color="auto"/>
                <w:right w:val="none" w:sz="0" w:space="0" w:color="auto"/>
              </w:divBdr>
              <w:divsChild>
                <w:div w:id="94145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121283">
          <w:marLeft w:val="0"/>
          <w:marRight w:val="0"/>
          <w:marTop w:val="0"/>
          <w:marBottom w:val="0"/>
          <w:divBdr>
            <w:top w:val="none" w:sz="0" w:space="0" w:color="auto"/>
            <w:left w:val="none" w:sz="0" w:space="0" w:color="auto"/>
            <w:bottom w:val="none" w:sz="0" w:space="0" w:color="auto"/>
            <w:right w:val="none" w:sz="0" w:space="0" w:color="auto"/>
          </w:divBdr>
          <w:divsChild>
            <w:div w:id="1720129235">
              <w:marLeft w:val="0"/>
              <w:marRight w:val="0"/>
              <w:marTop w:val="0"/>
              <w:marBottom w:val="0"/>
              <w:divBdr>
                <w:top w:val="none" w:sz="0" w:space="0" w:color="auto"/>
                <w:left w:val="none" w:sz="0" w:space="0" w:color="auto"/>
                <w:bottom w:val="none" w:sz="0" w:space="0" w:color="auto"/>
                <w:right w:val="none" w:sz="0" w:space="0" w:color="auto"/>
              </w:divBdr>
            </w:div>
          </w:divsChild>
        </w:div>
        <w:div w:id="1271470270">
          <w:marLeft w:val="0"/>
          <w:marRight w:val="0"/>
          <w:marTop w:val="0"/>
          <w:marBottom w:val="0"/>
          <w:divBdr>
            <w:top w:val="none" w:sz="0" w:space="0" w:color="auto"/>
            <w:left w:val="none" w:sz="0" w:space="0" w:color="auto"/>
            <w:bottom w:val="none" w:sz="0" w:space="0" w:color="auto"/>
            <w:right w:val="none" w:sz="0" w:space="0" w:color="auto"/>
          </w:divBdr>
          <w:divsChild>
            <w:div w:id="1020200979">
              <w:marLeft w:val="0"/>
              <w:marRight w:val="0"/>
              <w:marTop w:val="0"/>
              <w:marBottom w:val="0"/>
              <w:divBdr>
                <w:top w:val="none" w:sz="0" w:space="0" w:color="auto"/>
                <w:left w:val="none" w:sz="0" w:space="0" w:color="auto"/>
                <w:bottom w:val="none" w:sz="0" w:space="0" w:color="auto"/>
                <w:right w:val="none" w:sz="0" w:space="0" w:color="auto"/>
              </w:divBdr>
            </w:div>
          </w:divsChild>
        </w:div>
        <w:div w:id="906309318">
          <w:marLeft w:val="0"/>
          <w:marRight w:val="0"/>
          <w:marTop w:val="0"/>
          <w:marBottom w:val="0"/>
          <w:divBdr>
            <w:top w:val="none" w:sz="0" w:space="0" w:color="auto"/>
            <w:left w:val="none" w:sz="0" w:space="0" w:color="auto"/>
            <w:bottom w:val="none" w:sz="0" w:space="0" w:color="auto"/>
            <w:right w:val="none" w:sz="0" w:space="0" w:color="auto"/>
          </w:divBdr>
          <w:divsChild>
            <w:div w:id="827749015">
              <w:marLeft w:val="0"/>
              <w:marRight w:val="0"/>
              <w:marTop w:val="0"/>
              <w:marBottom w:val="0"/>
              <w:divBdr>
                <w:top w:val="none" w:sz="0" w:space="0" w:color="auto"/>
                <w:left w:val="none" w:sz="0" w:space="0" w:color="auto"/>
                <w:bottom w:val="none" w:sz="0" w:space="0" w:color="auto"/>
                <w:right w:val="none" w:sz="0" w:space="0" w:color="auto"/>
              </w:divBdr>
              <w:divsChild>
                <w:div w:id="927228109">
                  <w:marLeft w:val="0"/>
                  <w:marRight w:val="0"/>
                  <w:marTop w:val="0"/>
                  <w:marBottom w:val="0"/>
                  <w:divBdr>
                    <w:top w:val="none" w:sz="0" w:space="0" w:color="auto"/>
                    <w:left w:val="none" w:sz="0" w:space="0" w:color="auto"/>
                    <w:bottom w:val="none" w:sz="0" w:space="0" w:color="auto"/>
                    <w:right w:val="none" w:sz="0" w:space="0" w:color="auto"/>
                  </w:divBdr>
                </w:div>
              </w:divsChild>
            </w:div>
            <w:div w:id="349646639">
              <w:marLeft w:val="0"/>
              <w:marRight w:val="0"/>
              <w:marTop w:val="0"/>
              <w:marBottom w:val="0"/>
              <w:divBdr>
                <w:top w:val="none" w:sz="0" w:space="0" w:color="auto"/>
                <w:left w:val="none" w:sz="0" w:space="0" w:color="auto"/>
                <w:bottom w:val="none" w:sz="0" w:space="0" w:color="auto"/>
                <w:right w:val="none" w:sz="0" w:space="0" w:color="auto"/>
              </w:divBdr>
              <w:divsChild>
                <w:div w:id="81437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613643">
          <w:marLeft w:val="0"/>
          <w:marRight w:val="0"/>
          <w:marTop w:val="0"/>
          <w:marBottom w:val="0"/>
          <w:divBdr>
            <w:top w:val="none" w:sz="0" w:space="0" w:color="auto"/>
            <w:left w:val="none" w:sz="0" w:space="0" w:color="auto"/>
            <w:bottom w:val="none" w:sz="0" w:space="0" w:color="auto"/>
            <w:right w:val="none" w:sz="0" w:space="0" w:color="auto"/>
          </w:divBdr>
          <w:divsChild>
            <w:div w:id="1277370701">
              <w:marLeft w:val="0"/>
              <w:marRight w:val="0"/>
              <w:marTop w:val="0"/>
              <w:marBottom w:val="0"/>
              <w:divBdr>
                <w:top w:val="none" w:sz="0" w:space="0" w:color="auto"/>
                <w:left w:val="none" w:sz="0" w:space="0" w:color="auto"/>
                <w:bottom w:val="none" w:sz="0" w:space="0" w:color="auto"/>
                <w:right w:val="none" w:sz="0" w:space="0" w:color="auto"/>
              </w:divBdr>
            </w:div>
          </w:divsChild>
        </w:div>
        <w:div w:id="465390032">
          <w:marLeft w:val="0"/>
          <w:marRight w:val="0"/>
          <w:marTop w:val="0"/>
          <w:marBottom w:val="0"/>
          <w:divBdr>
            <w:top w:val="none" w:sz="0" w:space="0" w:color="auto"/>
            <w:left w:val="none" w:sz="0" w:space="0" w:color="auto"/>
            <w:bottom w:val="none" w:sz="0" w:space="0" w:color="auto"/>
            <w:right w:val="none" w:sz="0" w:space="0" w:color="auto"/>
          </w:divBdr>
          <w:divsChild>
            <w:div w:id="1625497903">
              <w:marLeft w:val="0"/>
              <w:marRight w:val="0"/>
              <w:marTop w:val="0"/>
              <w:marBottom w:val="0"/>
              <w:divBdr>
                <w:top w:val="none" w:sz="0" w:space="0" w:color="auto"/>
                <w:left w:val="none" w:sz="0" w:space="0" w:color="auto"/>
                <w:bottom w:val="none" w:sz="0" w:space="0" w:color="auto"/>
                <w:right w:val="none" w:sz="0" w:space="0" w:color="auto"/>
              </w:divBdr>
            </w:div>
          </w:divsChild>
        </w:div>
        <w:div w:id="1833717846">
          <w:marLeft w:val="0"/>
          <w:marRight w:val="0"/>
          <w:marTop w:val="0"/>
          <w:marBottom w:val="0"/>
          <w:divBdr>
            <w:top w:val="none" w:sz="0" w:space="0" w:color="auto"/>
            <w:left w:val="none" w:sz="0" w:space="0" w:color="auto"/>
            <w:bottom w:val="none" w:sz="0" w:space="0" w:color="auto"/>
            <w:right w:val="none" w:sz="0" w:space="0" w:color="auto"/>
          </w:divBdr>
          <w:divsChild>
            <w:div w:id="756293924">
              <w:marLeft w:val="0"/>
              <w:marRight w:val="0"/>
              <w:marTop w:val="0"/>
              <w:marBottom w:val="0"/>
              <w:divBdr>
                <w:top w:val="none" w:sz="0" w:space="0" w:color="auto"/>
                <w:left w:val="none" w:sz="0" w:space="0" w:color="auto"/>
                <w:bottom w:val="none" w:sz="0" w:space="0" w:color="auto"/>
                <w:right w:val="none" w:sz="0" w:space="0" w:color="auto"/>
              </w:divBdr>
              <w:divsChild>
                <w:div w:id="1433041096">
                  <w:marLeft w:val="0"/>
                  <w:marRight w:val="0"/>
                  <w:marTop w:val="0"/>
                  <w:marBottom w:val="0"/>
                  <w:divBdr>
                    <w:top w:val="none" w:sz="0" w:space="0" w:color="auto"/>
                    <w:left w:val="none" w:sz="0" w:space="0" w:color="auto"/>
                    <w:bottom w:val="none" w:sz="0" w:space="0" w:color="auto"/>
                    <w:right w:val="none" w:sz="0" w:space="0" w:color="auto"/>
                  </w:divBdr>
                </w:div>
              </w:divsChild>
            </w:div>
            <w:div w:id="1286618556">
              <w:marLeft w:val="0"/>
              <w:marRight w:val="0"/>
              <w:marTop w:val="0"/>
              <w:marBottom w:val="0"/>
              <w:divBdr>
                <w:top w:val="none" w:sz="0" w:space="0" w:color="auto"/>
                <w:left w:val="none" w:sz="0" w:space="0" w:color="auto"/>
                <w:bottom w:val="none" w:sz="0" w:space="0" w:color="auto"/>
                <w:right w:val="none" w:sz="0" w:space="0" w:color="auto"/>
              </w:divBdr>
              <w:divsChild>
                <w:div w:id="184301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42935">
          <w:marLeft w:val="0"/>
          <w:marRight w:val="0"/>
          <w:marTop w:val="0"/>
          <w:marBottom w:val="0"/>
          <w:divBdr>
            <w:top w:val="none" w:sz="0" w:space="0" w:color="auto"/>
            <w:left w:val="none" w:sz="0" w:space="0" w:color="auto"/>
            <w:bottom w:val="none" w:sz="0" w:space="0" w:color="auto"/>
            <w:right w:val="none" w:sz="0" w:space="0" w:color="auto"/>
          </w:divBdr>
          <w:divsChild>
            <w:div w:id="1008367044">
              <w:marLeft w:val="0"/>
              <w:marRight w:val="0"/>
              <w:marTop w:val="0"/>
              <w:marBottom w:val="0"/>
              <w:divBdr>
                <w:top w:val="none" w:sz="0" w:space="0" w:color="auto"/>
                <w:left w:val="none" w:sz="0" w:space="0" w:color="auto"/>
                <w:bottom w:val="none" w:sz="0" w:space="0" w:color="auto"/>
                <w:right w:val="none" w:sz="0" w:space="0" w:color="auto"/>
              </w:divBdr>
            </w:div>
          </w:divsChild>
        </w:div>
        <w:div w:id="1310595353">
          <w:marLeft w:val="0"/>
          <w:marRight w:val="0"/>
          <w:marTop w:val="0"/>
          <w:marBottom w:val="0"/>
          <w:divBdr>
            <w:top w:val="none" w:sz="0" w:space="0" w:color="auto"/>
            <w:left w:val="none" w:sz="0" w:space="0" w:color="auto"/>
            <w:bottom w:val="none" w:sz="0" w:space="0" w:color="auto"/>
            <w:right w:val="none" w:sz="0" w:space="0" w:color="auto"/>
          </w:divBdr>
          <w:divsChild>
            <w:div w:id="126512571">
              <w:marLeft w:val="0"/>
              <w:marRight w:val="0"/>
              <w:marTop w:val="0"/>
              <w:marBottom w:val="0"/>
              <w:divBdr>
                <w:top w:val="none" w:sz="0" w:space="0" w:color="auto"/>
                <w:left w:val="none" w:sz="0" w:space="0" w:color="auto"/>
                <w:bottom w:val="none" w:sz="0" w:space="0" w:color="auto"/>
                <w:right w:val="none" w:sz="0" w:space="0" w:color="auto"/>
              </w:divBdr>
            </w:div>
          </w:divsChild>
        </w:div>
        <w:div w:id="251207235">
          <w:marLeft w:val="0"/>
          <w:marRight w:val="0"/>
          <w:marTop w:val="0"/>
          <w:marBottom w:val="0"/>
          <w:divBdr>
            <w:top w:val="none" w:sz="0" w:space="0" w:color="auto"/>
            <w:left w:val="none" w:sz="0" w:space="0" w:color="auto"/>
            <w:bottom w:val="none" w:sz="0" w:space="0" w:color="auto"/>
            <w:right w:val="none" w:sz="0" w:space="0" w:color="auto"/>
          </w:divBdr>
          <w:divsChild>
            <w:div w:id="2079088351">
              <w:marLeft w:val="0"/>
              <w:marRight w:val="0"/>
              <w:marTop w:val="0"/>
              <w:marBottom w:val="0"/>
              <w:divBdr>
                <w:top w:val="none" w:sz="0" w:space="0" w:color="auto"/>
                <w:left w:val="none" w:sz="0" w:space="0" w:color="auto"/>
                <w:bottom w:val="none" w:sz="0" w:space="0" w:color="auto"/>
                <w:right w:val="none" w:sz="0" w:space="0" w:color="auto"/>
              </w:divBdr>
              <w:divsChild>
                <w:div w:id="1531139545">
                  <w:marLeft w:val="0"/>
                  <w:marRight w:val="0"/>
                  <w:marTop w:val="0"/>
                  <w:marBottom w:val="0"/>
                  <w:divBdr>
                    <w:top w:val="none" w:sz="0" w:space="0" w:color="auto"/>
                    <w:left w:val="none" w:sz="0" w:space="0" w:color="auto"/>
                    <w:bottom w:val="none" w:sz="0" w:space="0" w:color="auto"/>
                    <w:right w:val="none" w:sz="0" w:space="0" w:color="auto"/>
                  </w:divBdr>
                </w:div>
              </w:divsChild>
            </w:div>
            <w:div w:id="1116220703">
              <w:marLeft w:val="0"/>
              <w:marRight w:val="0"/>
              <w:marTop w:val="0"/>
              <w:marBottom w:val="0"/>
              <w:divBdr>
                <w:top w:val="none" w:sz="0" w:space="0" w:color="auto"/>
                <w:left w:val="none" w:sz="0" w:space="0" w:color="auto"/>
                <w:bottom w:val="none" w:sz="0" w:space="0" w:color="auto"/>
                <w:right w:val="none" w:sz="0" w:space="0" w:color="auto"/>
              </w:divBdr>
              <w:divsChild>
                <w:div w:id="107612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5132">
          <w:marLeft w:val="0"/>
          <w:marRight w:val="0"/>
          <w:marTop w:val="0"/>
          <w:marBottom w:val="0"/>
          <w:divBdr>
            <w:top w:val="none" w:sz="0" w:space="0" w:color="auto"/>
            <w:left w:val="none" w:sz="0" w:space="0" w:color="auto"/>
            <w:bottom w:val="none" w:sz="0" w:space="0" w:color="auto"/>
            <w:right w:val="none" w:sz="0" w:space="0" w:color="auto"/>
          </w:divBdr>
          <w:divsChild>
            <w:div w:id="389966264">
              <w:marLeft w:val="0"/>
              <w:marRight w:val="0"/>
              <w:marTop w:val="0"/>
              <w:marBottom w:val="0"/>
              <w:divBdr>
                <w:top w:val="none" w:sz="0" w:space="0" w:color="auto"/>
                <w:left w:val="none" w:sz="0" w:space="0" w:color="auto"/>
                <w:bottom w:val="none" w:sz="0" w:space="0" w:color="auto"/>
                <w:right w:val="none" w:sz="0" w:space="0" w:color="auto"/>
              </w:divBdr>
            </w:div>
          </w:divsChild>
        </w:div>
        <w:div w:id="437531465">
          <w:marLeft w:val="0"/>
          <w:marRight w:val="0"/>
          <w:marTop w:val="0"/>
          <w:marBottom w:val="0"/>
          <w:divBdr>
            <w:top w:val="none" w:sz="0" w:space="0" w:color="auto"/>
            <w:left w:val="none" w:sz="0" w:space="0" w:color="auto"/>
            <w:bottom w:val="none" w:sz="0" w:space="0" w:color="auto"/>
            <w:right w:val="none" w:sz="0" w:space="0" w:color="auto"/>
          </w:divBdr>
          <w:divsChild>
            <w:div w:id="2117284828">
              <w:marLeft w:val="0"/>
              <w:marRight w:val="0"/>
              <w:marTop w:val="0"/>
              <w:marBottom w:val="0"/>
              <w:divBdr>
                <w:top w:val="none" w:sz="0" w:space="0" w:color="auto"/>
                <w:left w:val="none" w:sz="0" w:space="0" w:color="auto"/>
                <w:bottom w:val="none" w:sz="0" w:space="0" w:color="auto"/>
                <w:right w:val="none" w:sz="0" w:space="0" w:color="auto"/>
              </w:divBdr>
            </w:div>
          </w:divsChild>
        </w:div>
        <w:div w:id="1516922222">
          <w:marLeft w:val="0"/>
          <w:marRight w:val="0"/>
          <w:marTop w:val="0"/>
          <w:marBottom w:val="0"/>
          <w:divBdr>
            <w:top w:val="none" w:sz="0" w:space="0" w:color="auto"/>
            <w:left w:val="none" w:sz="0" w:space="0" w:color="auto"/>
            <w:bottom w:val="none" w:sz="0" w:space="0" w:color="auto"/>
            <w:right w:val="none" w:sz="0" w:space="0" w:color="auto"/>
          </w:divBdr>
          <w:divsChild>
            <w:div w:id="1161697007">
              <w:marLeft w:val="0"/>
              <w:marRight w:val="0"/>
              <w:marTop w:val="0"/>
              <w:marBottom w:val="0"/>
              <w:divBdr>
                <w:top w:val="none" w:sz="0" w:space="0" w:color="auto"/>
                <w:left w:val="none" w:sz="0" w:space="0" w:color="auto"/>
                <w:bottom w:val="none" w:sz="0" w:space="0" w:color="auto"/>
                <w:right w:val="none" w:sz="0" w:space="0" w:color="auto"/>
              </w:divBdr>
              <w:divsChild>
                <w:div w:id="155655138">
                  <w:marLeft w:val="0"/>
                  <w:marRight w:val="0"/>
                  <w:marTop w:val="0"/>
                  <w:marBottom w:val="0"/>
                  <w:divBdr>
                    <w:top w:val="none" w:sz="0" w:space="0" w:color="auto"/>
                    <w:left w:val="none" w:sz="0" w:space="0" w:color="auto"/>
                    <w:bottom w:val="none" w:sz="0" w:space="0" w:color="auto"/>
                    <w:right w:val="none" w:sz="0" w:space="0" w:color="auto"/>
                  </w:divBdr>
                </w:div>
              </w:divsChild>
            </w:div>
            <w:div w:id="1682079735">
              <w:marLeft w:val="0"/>
              <w:marRight w:val="0"/>
              <w:marTop w:val="0"/>
              <w:marBottom w:val="0"/>
              <w:divBdr>
                <w:top w:val="none" w:sz="0" w:space="0" w:color="auto"/>
                <w:left w:val="none" w:sz="0" w:space="0" w:color="auto"/>
                <w:bottom w:val="none" w:sz="0" w:space="0" w:color="auto"/>
                <w:right w:val="none" w:sz="0" w:space="0" w:color="auto"/>
              </w:divBdr>
              <w:divsChild>
                <w:div w:id="1791390039">
                  <w:marLeft w:val="0"/>
                  <w:marRight w:val="0"/>
                  <w:marTop w:val="0"/>
                  <w:marBottom w:val="0"/>
                  <w:divBdr>
                    <w:top w:val="none" w:sz="0" w:space="0" w:color="auto"/>
                    <w:left w:val="none" w:sz="0" w:space="0" w:color="auto"/>
                    <w:bottom w:val="none" w:sz="0" w:space="0" w:color="auto"/>
                    <w:right w:val="none" w:sz="0" w:space="0" w:color="auto"/>
                  </w:divBdr>
                </w:div>
                <w:div w:id="119866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053735">
      <w:bodyDiv w:val="1"/>
      <w:marLeft w:val="0"/>
      <w:marRight w:val="0"/>
      <w:marTop w:val="0"/>
      <w:marBottom w:val="0"/>
      <w:divBdr>
        <w:top w:val="none" w:sz="0" w:space="0" w:color="auto"/>
        <w:left w:val="none" w:sz="0" w:space="0" w:color="auto"/>
        <w:bottom w:val="none" w:sz="0" w:space="0" w:color="auto"/>
        <w:right w:val="none" w:sz="0" w:space="0" w:color="auto"/>
      </w:divBdr>
    </w:div>
    <w:div w:id="1515726125">
      <w:bodyDiv w:val="1"/>
      <w:marLeft w:val="0"/>
      <w:marRight w:val="0"/>
      <w:marTop w:val="0"/>
      <w:marBottom w:val="0"/>
      <w:divBdr>
        <w:top w:val="none" w:sz="0" w:space="0" w:color="auto"/>
        <w:left w:val="none" w:sz="0" w:space="0" w:color="auto"/>
        <w:bottom w:val="none" w:sz="0" w:space="0" w:color="auto"/>
        <w:right w:val="none" w:sz="0" w:space="0" w:color="auto"/>
      </w:divBdr>
    </w:div>
    <w:div w:id="1516577158">
      <w:bodyDiv w:val="1"/>
      <w:marLeft w:val="0"/>
      <w:marRight w:val="0"/>
      <w:marTop w:val="0"/>
      <w:marBottom w:val="0"/>
      <w:divBdr>
        <w:top w:val="none" w:sz="0" w:space="0" w:color="auto"/>
        <w:left w:val="none" w:sz="0" w:space="0" w:color="auto"/>
        <w:bottom w:val="none" w:sz="0" w:space="0" w:color="auto"/>
        <w:right w:val="none" w:sz="0" w:space="0" w:color="auto"/>
      </w:divBdr>
    </w:div>
    <w:div w:id="1520584879">
      <w:bodyDiv w:val="1"/>
      <w:marLeft w:val="0"/>
      <w:marRight w:val="0"/>
      <w:marTop w:val="0"/>
      <w:marBottom w:val="0"/>
      <w:divBdr>
        <w:top w:val="none" w:sz="0" w:space="0" w:color="auto"/>
        <w:left w:val="none" w:sz="0" w:space="0" w:color="auto"/>
        <w:bottom w:val="none" w:sz="0" w:space="0" w:color="auto"/>
        <w:right w:val="none" w:sz="0" w:space="0" w:color="auto"/>
      </w:divBdr>
    </w:div>
    <w:div w:id="1535997096">
      <w:bodyDiv w:val="1"/>
      <w:marLeft w:val="0"/>
      <w:marRight w:val="0"/>
      <w:marTop w:val="0"/>
      <w:marBottom w:val="0"/>
      <w:divBdr>
        <w:top w:val="none" w:sz="0" w:space="0" w:color="auto"/>
        <w:left w:val="none" w:sz="0" w:space="0" w:color="auto"/>
        <w:bottom w:val="none" w:sz="0" w:space="0" w:color="auto"/>
        <w:right w:val="none" w:sz="0" w:space="0" w:color="auto"/>
      </w:divBdr>
    </w:div>
    <w:div w:id="1538423902">
      <w:bodyDiv w:val="1"/>
      <w:marLeft w:val="0"/>
      <w:marRight w:val="0"/>
      <w:marTop w:val="0"/>
      <w:marBottom w:val="0"/>
      <w:divBdr>
        <w:top w:val="none" w:sz="0" w:space="0" w:color="auto"/>
        <w:left w:val="none" w:sz="0" w:space="0" w:color="auto"/>
        <w:bottom w:val="none" w:sz="0" w:space="0" w:color="auto"/>
        <w:right w:val="none" w:sz="0" w:space="0" w:color="auto"/>
      </w:divBdr>
    </w:div>
    <w:div w:id="1551116417">
      <w:bodyDiv w:val="1"/>
      <w:marLeft w:val="0"/>
      <w:marRight w:val="0"/>
      <w:marTop w:val="0"/>
      <w:marBottom w:val="0"/>
      <w:divBdr>
        <w:top w:val="none" w:sz="0" w:space="0" w:color="auto"/>
        <w:left w:val="none" w:sz="0" w:space="0" w:color="auto"/>
        <w:bottom w:val="none" w:sz="0" w:space="0" w:color="auto"/>
        <w:right w:val="none" w:sz="0" w:space="0" w:color="auto"/>
      </w:divBdr>
    </w:div>
    <w:div w:id="1561212075">
      <w:bodyDiv w:val="1"/>
      <w:marLeft w:val="0"/>
      <w:marRight w:val="0"/>
      <w:marTop w:val="0"/>
      <w:marBottom w:val="0"/>
      <w:divBdr>
        <w:top w:val="none" w:sz="0" w:space="0" w:color="auto"/>
        <w:left w:val="none" w:sz="0" w:space="0" w:color="auto"/>
        <w:bottom w:val="none" w:sz="0" w:space="0" w:color="auto"/>
        <w:right w:val="none" w:sz="0" w:space="0" w:color="auto"/>
      </w:divBdr>
    </w:div>
    <w:div w:id="1570767028">
      <w:bodyDiv w:val="1"/>
      <w:marLeft w:val="0"/>
      <w:marRight w:val="0"/>
      <w:marTop w:val="0"/>
      <w:marBottom w:val="0"/>
      <w:divBdr>
        <w:top w:val="none" w:sz="0" w:space="0" w:color="auto"/>
        <w:left w:val="none" w:sz="0" w:space="0" w:color="auto"/>
        <w:bottom w:val="none" w:sz="0" w:space="0" w:color="auto"/>
        <w:right w:val="none" w:sz="0" w:space="0" w:color="auto"/>
      </w:divBdr>
    </w:div>
    <w:div w:id="1574316401">
      <w:bodyDiv w:val="1"/>
      <w:marLeft w:val="0"/>
      <w:marRight w:val="0"/>
      <w:marTop w:val="0"/>
      <w:marBottom w:val="0"/>
      <w:divBdr>
        <w:top w:val="none" w:sz="0" w:space="0" w:color="auto"/>
        <w:left w:val="none" w:sz="0" w:space="0" w:color="auto"/>
        <w:bottom w:val="none" w:sz="0" w:space="0" w:color="auto"/>
        <w:right w:val="none" w:sz="0" w:space="0" w:color="auto"/>
      </w:divBdr>
    </w:div>
    <w:div w:id="1575315489">
      <w:bodyDiv w:val="1"/>
      <w:marLeft w:val="0"/>
      <w:marRight w:val="0"/>
      <w:marTop w:val="0"/>
      <w:marBottom w:val="0"/>
      <w:divBdr>
        <w:top w:val="none" w:sz="0" w:space="0" w:color="auto"/>
        <w:left w:val="none" w:sz="0" w:space="0" w:color="auto"/>
        <w:bottom w:val="none" w:sz="0" w:space="0" w:color="auto"/>
        <w:right w:val="none" w:sz="0" w:space="0" w:color="auto"/>
      </w:divBdr>
    </w:div>
    <w:div w:id="1601570654">
      <w:bodyDiv w:val="1"/>
      <w:marLeft w:val="0"/>
      <w:marRight w:val="0"/>
      <w:marTop w:val="0"/>
      <w:marBottom w:val="0"/>
      <w:divBdr>
        <w:top w:val="none" w:sz="0" w:space="0" w:color="auto"/>
        <w:left w:val="none" w:sz="0" w:space="0" w:color="auto"/>
        <w:bottom w:val="none" w:sz="0" w:space="0" w:color="auto"/>
        <w:right w:val="none" w:sz="0" w:space="0" w:color="auto"/>
      </w:divBdr>
    </w:div>
    <w:div w:id="1608079025">
      <w:bodyDiv w:val="1"/>
      <w:marLeft w:val="0"/>
      <w:marRight w:val="0"/>
      <w:marTop w:val="0"/>
      <w:marBottom w:val="0"/>
      <w:divBdr>
        <w:top w:val="none" w:sz="0" w:space="0" w:color="auto"/>
        <w:left w:val="none" w:sz="0" w:space="0" w:color="auto"/>
        <w:bottom w:val="none" w:sz="0" w:space="0" w:color="auto"/>
        <w:right w:val="none" w:sz="0" w:space="0" w:color="auto"/>
      </w:divBdr>
    </w:div>
    <w:div w:id="1633636950">
      <w:bodyDiv w:val="1"/>
      <w:marLeft w:val="0"/>
      <w:marRight w:val="0"/>
      <w:marTop w:val="0"/>
      <w:marBottom w:val="0"/>
      <w:divBdr>
        <w:top w:val="none" w:sz="0" w:space="0" w:color="auto"/>
        <w:left w:val="none" w:sz="0" w:space="0" w:color="auto"/>
        <w:bottom w:val="none" w:sz="0" w:space="0" w:color="auto"/>
        <w:right w:val="none" w:sz="0" w:space="0" w:color="auto"/>
      </w:divBdr>
    </w:div>
    <w:div w:id="1674406473">
      <w:bodyDiv w:val="1"/>
      <w:marLeft w:val="0"/>
      <w:marRight w:val="0"/>
      <w:marTop w:val="0"/>
      <w:marBottom w:val="0"/>
      <w:divBdr>
        <w:top w:val="none" w:sz="0" w:space="0" w:color="auto"/>
        <w:left w:val="none" w:sz="0" w:space="0" w:color="auto"/>
        <w:bottom w:val="none" w:sz="0" w:space="0" w:color="auto"/>
        <w:right w:val="none" w:sz="0" w:space="0" w:color="auto"/>
      </w:divBdr>
      <w:divsChild>
        <w:div w:id="750737467">
          <w:marLeft w:val="0"/>
          <w:marRight w:val="0"/>
          <w:marTop w:val="0"/>
          <w:marBottom w:val="0"/>
          <w:divBdr>
            <w:top w:val="none" w:sz="0" w:space="0" w:color="auto"/>
            <w:left w:val="none" w:sz="0" w:space="0" w:color="auto"/>
            <w:bottom w:val="none" w:sz="0" w:space="0" w:color="auto"/>
            <w:right w:val="none" w:sz="0" w:space="0" w:color="auto"/>
          </w:divBdr>
          <w:divsChild>
            <w:div w:id="752898085">
              <w:marLeft w:val="0"/>
              <w:marRight w:val="0"/>
              <w:marTop w:val="0"/>
              <w:marBottom w:val="0"/>
              <w:divBdr>
                <w:top w:val="none" w:sz="0" w:space="0" w:color="auto"/>
                <w:left w:val="none" w:sz="0" w:space="0" w:color="auto"/>
                <w:bottom w:val="none" w:sz="0" w:space="0" w:color="auto"/>
                <w:right w:val="none" w:sz="0" w:space="0" w:color="auto"/>
              </w:divBdr>
              <w:divsChild>
                <w:div w:id="11202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797427">
      <w:bodyDiv w:val="1"/>
      <w:marLeft w:val="0"/>
      <w:marRight w:val="0"/>
      <w:marTop w:val="0"/>
      <w:marBottom w:val="0"/>
      <w:divBdr>
        <w:top w:val="none" w:sz="0" w:space="0" w:color="auto"/>
        <w:left w:val="none" w:sz="0" w:space="0" w:color="auto"/>
        <w:bottom w:val="none" w:sz="0" w:space="0" w:color="auto"/>
        <w:right w:val="none" w:sz="0" w:space="0" w:color="auto"/>
      </w:divBdr>
    </w:div>
    <w:div w:id="1696997687">
      <w:bodyDiv w:val="1"/>
      <w:marLeft w:val="0"/>
      <w:marRight w:val="0"/>
      <w:marTop w:val="0"/>
      <w:marBottom w:val="0"/>
      <w:divBdr>
        <w:top w:val="none" w:sz="0" w:space="0" w:color="auto"/>
        <w:left w:val="none" w:sz="0" w:space="0" w:color="auto"/>
        <w:bottom w:val="none" w:sz="0" w:space="0" w:color="auto"/>
        <w:right w:val="none" w:sz="0" w:space="0" w:color="auto"/>
      </w:divBdr>
    </w:div>
    <w:div w:id="1702435500">
      <w:bodyDiv w:val="1"/>
      <w:marLeft w:val="0"/>
      <w:marRight w:val="0"/>
      <w:marTop w:val="0"/>
      <w:marBottom w:val="0"/>
      <w:divBdr>
        <w:top w:val="none" w:sz="0" w:space="0" w:color="auto"/>
        <w:left w:val="none" w:sz="0" w:space="0" w:color="auto"/>
        <w:bottom w:val="none" w:sz="0" w:space="0" w:color="auto"/>
        <w:right w:val="none" w:sz="0" w:space="0" w:color="auto"/>
      </w:divBdr>
      <w:divsChild>
        <w:div w:id="197932609">
          <w:marLeft w:val="0"/>
          <w:marRight w:val="0"/>
          <w:marTop w:val="0"/>
          <w:marBottom w:val="0"/>
          <w:divBdr>
            <w:top w:val="none" w:sz="0" w:space="0" w:color="auto"/>
            <w:left w:val="none" w:sz="0" w:space="0" w:color="auto"/>
            <w:bottom w:val="none" w:sz="0" w:space="0" w:color="auto"/>
            <w:right w:val="none" w:sz="0" w:space="0" w:color="auto"/>
          </w:divBdr>
          <w:divsChild>
            <w:div w:id="16359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494671">
      <w:bodyDiv w:val="1"/>
      <w:marLeft w:val="0"/>
      <w:marRight w:val="0"/>
      <w:marTop w:val="0"/>
      <w:marBottom w:val="0"/>
      <w:divBdr>
        <w:top w:val="none" w:sz="0" w:space="0" w:color="auto"/>
        <w:left w:val="none" w:sz="0" w:space="0" w:color="auto"/>
        <w:bottom w:val="none" w:sz="0" w:space="0" w:color="auto"/>
        <w:right w:val="none" w:sz="0" w:space="0" w:color="auto"/>
      </w:divBdr>
    </w:div>
    <w:div w:id="1775319060">
      <w:bodyDiv w:val="1"/>
      <w:marLeft w:val="0"/>
      <w:marRight w:val="0"/>
      <w:marTop w:val="0"/>
      <w:marBottom w:val="0"/>
      <w:divBdr>
        <w:top w:val="none" w:sz="0" w:space="0" w:color="auto"/>
        <w:left w:val="none" w:sz="0" w:space="0" w:color="auto"/>
        <w:bottom w:val="none" w:sz="0" w:space="0" w:color="auto"/>
        <w:right w:val="none" w:sz="0" w:space="0" w:color="auto"/>
      </w:divBdr>
      <w:divsChild>
        <w:div w:id="1597590399">
          <w:marLeft w:val="0"/>
          <w:marRight w:val="0"/>
          <w:marTop w:val="0"/>
          <w:marBottom w:val="0"/>
          <w:divBdr>
            <w:top w:val="none" w:sz="0" w:space="0" w:color="auto"/>
            <w:left w:val="none" w:sz="0" w:space="0" w:color="auto"/>
            <w:bottom w:val="none" w:sz="0" w:space="0" w:color="auto"/>
            <w:right w:val="none" w:sz="0" w:space="0" w:color="auto"/>
          </w:divBdr>
          <w:divsChild>
            <w:div w:id="17970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548706">
      <w:bodyDiv w:val="1"/>
      <w:marLeft w:val="0"/>
      <w:marRight w:val="0"/>
      <w:marTop w:val="0"/>
      <w:marBottom w:val="0"/>
      <w:divBdr>
        <w:top w:val="none" w:sz="0" w:space="0" w:color="auto"/>
        <w:left w:val="none" w:sz="0" w:space="0" w:color="auto"/>
        <w:bottom w:val="none" w:sz="0" w:space="0" w:color="auto"/>
        <w:right w:val="none" w:sz="0" w:space="0" w:color="auto"/>
      </w:divBdr>
      <w:divsChild>
        <w:div w:id="1670867061">
          <w:marLeft w:val="0"/>
          <w:marRight w:val="0"/>
          <w:marTop w:val="0"/>
          <w:marBottom w:val="0"/>
          <w:divBdr>
            <w:top w:val="none" w:sz="0" w:space="0" w:color="auto"/>
            <w:left w:val="none" w:sz="0" w:space="0" w:color="auto"/>
            <w:bottom w:val="none" w:sz="0" w:space="0" w:color="auto"/>
            <w:right w:val="none" w:sz="0" w:space="0" w:color="auto"/>
          </w:divBdr>
          <w:divsChild>
            <w:div w:id="1785729878">
              <w:marLeft w:val="0"/>
              <w:marRight w:val="0"/>
              <w:marTop w:val="0"/>
              <w:marBottom w:val="0"/>
              <w:divBdr>
                <w:top w:val="none" w:sz="0" w:space="0" w:color="auto"/>
                <w:left w:val="none" w:sz="0" w:space="0" w:color="auto"/>
                <w:bottom w:val="none" w:sz="0" w:space="0" w:color="auto"/>
                <w:right w:val="none" w:sz="0" w:space="0" w:color="auto"/>
              </w:divBdr>
            </w:div>
          </w:divsChild>
        </w:div>
        <w:div w:id="2135905425">
          <w:marLeft w:val="0"/>
          <w:marRight w:val="0"/>
          <w:marTop w:val="0"/>
          <w:marBottom w:val="0"/>
          <w:divBdr>
            <w:top w:val="none" w:sz="0" w:space="0" w:color="auto"/>
            <w:left w:val="none" w:sz="0" w:space="0" w:color="auto"/>
            <w:bottom w:val="none" w:sz="0" w:space="0" w:color="auto"/>
            <w:right w:val="none" w:sz="0" w:space="0" w:color="auto"/>
          </w:divBdr>
          <w:divsChild>
            <w:div w:id="115514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057564">
      <w:bodyDiv w:val="1"/>
      <w:marLeft w:val="0"/>
      <w:marRight w:val="0"/>
      <w:marTop w:val="0"/>
      <w:marBottom w:val="0"/>
      <w:divBdr>
        <w:top w:val="none" w:sz="0" w:space="0" w:color="auto"/>
        <w:left w:val="none" w:sz="0" w:space="0" w:color="auto"/>
        <w:bottom w:val="none" w:sz="0" w:space="0" w:color="auto"/>
        <w:right w:val="none" w:sz="0" w:space="0" w:color="auto"/>
      </w:divBdr>
    </w:div>
    <w:div w:id="1909336399">
      <w:bodyDiv w:val="1"/>
      <w:marLeft w:val="0"/>
      <w:marRight w:val="0"/>
      <w:marTop w:val="0"/>
      <w:marBottom w:val="0"/>
      <w:divBdr>
        <w:top w:val="none" w:sz="0" w:space="0" w:color="auto"/>
        <w:left w:val="none" w:sz="0" w:space="0" w:color="auto"/>
        <w:bottom w:val="none" w:sz="0" w:space="0" w:color="auto"/>
        <w:right w:val="none" w:sz="0" w:space="0" w:color="auto"/>
      </w:divBdr>
    </w:div>
    <w:div w:id="1916819797">
      <w:bodyDiv w:val="1"/>
      <w:marLeft w:val="0"/>
      <w:marRight w:val="0"/>
      <w:marTop w:val="0"/>
      <w:marBottom w:val="0"/>
      <w:divBdr>
        <w:top w:val="none" w:sz="0" w:space="0" w:color="auto"/>
        <w:left w:val="none" w:sz="0" w:space="0" w:color="auto"/>
        <w:bottom w:val="none" w:sz="0" w:space="0" w:color="auto"/>
        <w:right w:val="none" w:sz="0" w:space="0" w:color="auto"/>
      </w:divBdr>
    </w:div>
    <w:div w:id="1922910012">
      <w:bodyDiv w:val="1"/>
      <w:marLeft w:val="0"/>
      <w:marRight w:val="0"/>
      <w:marTop w:val="0"/>
      <w:marBottom w:val="0"/>
      <w:divBdr>
        <w:top w:val="none" w:sz="0" w:space="0" w:color="auto"/>
        <w:left w:val="none" w:sz="0" w:space="0" w:color="auto"/>
        <w:bottom w:val="none" w:sz="0" w:space="0" w:color="auto"/>
        <w:right w:val="none" w:sz="0" w:space="0" w:color="auto"/>
      </w:divBdr>
    </w:div>
    <w:div w:id="1927959894">
      <w:bodyDiv w:val="1"/>
      <w:marLeft w:val="0"/>
      <w:marRight w:val="0"/>
      <w:marTop w:val="0"/>
      <w:marBottom w:val="0"/>
      <w:divBdr>
        <w:top w:val="none" w:sz="0" w:space="0" w:color="auto"/>
        <w:left w:val="none" w:sz="0" w:space="0" w:color="auto"/>
        <w:bottom w:val="none" w:sz="0" w:space="0" w:color="auto"/>
        <w:right w:val="none" w:sz="0" w:space="0" w:color="auto"/>
      </w:divBdr>
      <w:divsChild>
        <w:div w:id="1481724313">
          <w:marLeft w:val="0"/>
          <w:marRight w:val="0"/>
          <w:marTop w:val="0"/>
          <w:marBottom w:val="0"/>
          <w:divBdr>
            <w:top w:val="none" w:sz="0" w:space="0" w:color="auto"/>
            <w:left w:val="none" w:sz="0" w:space="0" w:color="auto"/>
            <w:bottom w:val="none" w:sz="0" w:space="0" w:color="auto"/>
            <w:right w:val="none" w:sz="0" w:space="0" w:color="auto"/>
          </w:divBdr>
          <w:divsChild>
            <w:div w:id="168004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498820">
      <w:bodyDiv w:val="1"/>
      <w:marLeft w:val="0"/>
      <w:marRight w:val="0"/>
      <w:marTop w:val="0"/>
      <w:marBottom w:val="0"/>
      <w:divBdr>
        <w:top w:val="none" w:sz="0" w:space="0" w:color="auto"/>
        <w:left w:val="none" w:sz="0" w:space="0" w:color="auto"/>
        <w:bottom w:val="none" w:sz="0" w:space="0" w:color="auto"/>
        <w:right w:val="none" w:sz="0" w:space="0" w:color="auto"/>
      </w:divBdr>
    </w:div>
    <w:div w:id="1955207536">
      <w:bodyDiv w:val="1"/>
      <w:marLeft w:val="0"/>
      <w:marRight w:val="0"/>
      <w:marTop w:val="0"/>
      <w:marBottom w:val="0"/>
      <w:divBdr>
        <w:top w:val="none" w:sz="0" w:space="0" w:color="auto"/>
        <w:left w:val="none" w:sz="0" w:space="0" w:color="auto"/>
        <w:bottom w:val="none" w:sz="0" w:space="0" w:color="auto"/>
        <w:right w:val="none" w:sz="0" w:space="0" w:color="auto"/>
      </w:divBdr>
    </w:div>
    <w:div w:id="1972590080">
      <w:bodyDiv w:val="1"/>
      <w:marLeft w:val="0"/>
      <w:marRight w:val="0"/>
      <w:marTop w:val="0"/>
      <w:marBottom w:val="0"/>
      <w:divBdr>
        <w:top w:val="none" w:sz="0" w:space="0" w:color="auto"/>
        <w:left w:val="none" w:sz="0" w:space="0" w:color="auto"/>
        <w:bottom w:val="none" w:sz="0" w:space="0" w:color="auto"/>
        <w:right w:val="none" w:sz="0" w:space="0" w:color="auto"/>
      </w:divBdr>
    </w:div>
    <w:div w:id="1987972360">
      <w:bodyDiv w:val="1"/>
      <w:marLeft w:val="0"/>
      <w:marRight w:val="0"/>
      <w:marTop w:val="0"/>
      <w:marBottom w:val="0"/>
      <w:divBdr>
        <w:top w:val="none" w:sz="0" w:space="0" w:color="auto"/>
        <w:left w:val="none" w:sz="0" w:space="0" w:color="auto"/>
        <w:bottom w:val="none" w:sz="0" w:space="0" w:color="auto"/>
        <w:right w:val="none" w:sz="0" w:space="0" w:color="auto"/>
      </w:divBdr>
    </w:div>
    <w:div w:id="2017003511">
      <w:bodyDiv w:val="1"/>
      <w:marLeft w:val="0"/>
      <w:marRight w:val="0"/>
      <w:marTop w:val="0"/>
      <w:marBottom w:val="0"/>
      <w:divBdr>
        <w:top w:val="none" w:sz="0" w:space="0" w:color="auto"/>
        <w:left w:val="none" w:sz="0" w:space="0" w:color="auto"/>
        <w:bottom w:val="none" w:sz="0" w:space="0" w:color="auto"/>
        <w:right w:val="none" w:sz="0" w:space="0" w:color="auto"/>
      </w:divBdr>
    </w:div>
    <w:div w:id="2023973811">
      <w:bodyDiv w:val="1"/>
      <w:marLeft w:val="0"/>
      <w:marRight w:val="0"/>
      <w:marTop w:val="0"/>
      <w:marBottom w:val="0"/>
      <w:divBdr>
        <w:top w:val="none" w:sz="0" w:space="0" w:color="auto"/>
        <w:left w:val="none" w:sz="0" w:space="0" w:color="auto"/>
        <w:bottom w:val="none" w:sz="0" w:space="0" w:color="auto"/>
        <w:right w:val="none" w:sz="0" w:space="0" w:color="auto"/>
      </w:divBdr>
      <w:divsChild>
        <w:div w:id="1656450305">
          <w:marLeft w:val="0"/>
          <w:marRight w:val="0"/>
          <w:marTop w:val="0"/>
          <w:marBottom w:val="0"/>
          <w:divBdr>
            <w:top w:val="none" w:sz="0" w:space="0" w:color="auto"/>
            <w:left w:val="none" w:sz="0" w:space="0" w:color="auto"/>
            <w:bottom w:val="none" w:sz="0" w:space="0" w:color="auto"/>
            <w:right w:val="none" w:sz="0" w:space="0" w:color="auto"/>
          </w:divBdr>
          <w:divsChild>
            <w:div w:id="850142096">
              <w:marLeft w:val="0"/>
              <w:marRight w:val="0"/>
              <w:marTop w:val="0"/>
              <w:marBottom w:val="0"/>
              <w:divBdr>
                <w:top w:val="none" w:sz="0" w:space="0" w:color="auto"/>
                <w:left w:val="none" w:sz="0" w:space="0" w:color="auto"/>
                <w:bottom w:val="none" w:sz="0" w:space="0" w:color="auto"/>
                <w:right w:val="none" w:sz="0" w:space="0" w:color="auto"/>
              </w:divBdr>
              <w:divsChild>
                <w:div w:id="73716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147651">
      <w:bodyDiv w:val="1"/>
      <w:marLeft w:val="0"/>
      <w:marRight w:val="0"/>
      <w:marTop w:val="0"/>
      <w:marBottom w:val="0"/>
      <w:divBdr>
        <w:top w:val="none" w:sz="0" w:space="0" w:color="auto"/>
        <w:left w:val="none" w:sz="0" w:space="0" w:color="auto"/>
        <w:bottom w:val="none" w:sz="0" w:space="0" w:color="auto"/>
        <w:right w:val="none" w:sz="0" w:space="0" w:color="auto"/>
      </w:divBdr>
      <w:divsChild>
        <w:div w:id="1287272538">
          <w:marLeft w:val="0"/>
          <w:marRight w:val="0"/>
          <w:marTop w:val="0"/>
          <w:marBottom w:val="0"/>
          <w:divBdr>
            <w:top w:val="none" w:sz="0" w:space="0" w:color="auto"/>
            <w:left w:val="none" w:sz="0" w:space="0" w:color="auto"/>
            <w:bottom w:val="none" w:sz="0" w:space="0" w:color="auto"/>
            <w:right w:val="none" w:sz="0" w:space="0" w:color="auto"/>
          </w:divBdr>
          <w:divsChild>
            <w:div w:id="66952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246822">
      <w:bodyDiv w:val="1"/>
      <w:marLeft w:val="0"/>
      <w:marRight w:val="0"/>
      <w:marTop w:val="0"/>
      <w:marBottom w:val="0"/>
      <w:divBdr>
        <w:top w:val="none" w:sz="0" w:space="0" w:color="auto"/>
        <w:left w:val="none" w:sz="0" w:space="0" w:color="auto"/>
        <w:bottom w:val="none" w:sz="0" w:space="0" w:color="auto"/>
        <w:right w:val="none" w:sz="0" w:space="0" w:color="auto"/>
      </w:divBdr>
      <w:divsChild>
        <w:div w:id="12655297">
          <w:marLeft w:val="0"/>
          <w:marRight w:val="0"/>
          <w:marTop w:val="0"/>
          <w:marBottom w:val="0"/>
          <w:divBdr>
            <w:top w:val="none" w:sz="0" w:space="0" w:color="auto"/>
            <w:left w:val="none" w:sz="0" w:space="0" w:color="auto"/>
            <w:bottom w:val="none" w:sz="0" w:space="0" w:color="auto"/>
            <w:right w:val="none" w:sz="0" w:space="0" w:color="auto"/>
          </w:divBdr>
          <w:divsChild>
            <w:div w:id="260991303">
              <w:marLeft w:val="0"/>
              <w:marRight w:val="0"/>
              <w:marTop w:val="0"/>
              <w:marBottom w:val="0"/>
              <w:divBdr>
                <w:top w:val="none" w:sz="0" w:space="0" w:color="auto"/>
                <w:left w:val="none" w:sz="0" w:space="0" w:color="auto"/>
                <w:bottom w:val="none" w:sz="0" w:space="0" w:color="auto"/>
                <w:right w:val="none" w:sz="0" w:space="0" w:color="auto"/>
              </w:divBdr>
              <w:divsChild>
                <w:div w:id="696199488">
                  <w:marLeft w:val="0"/>
                  <w:marRight w:val="0"/>
                  <w:marTop w:val="0"/>
                  <w:marBottom w:val="0"/>
                  <w:divBdr>
                    <w:top w:val="none" w:sz="0" w:space="0" w:color="auto"/>
                    <w:left w:val="none" w:sz="0" w:space="0" w:color="auto"/>
                    <w:bottom w:val="none" w:sz="0" w:space="0" w:color="auto"/>
                    <w:right w:val="none" w:sz="0" w:space="0" w:color="auto"/>
                  </w:divBdr>
                </w:div>
              </w:divsChild>
            </w:div>
            <w:div w:id="1409352410">
              <w:marLeft w:val="0"/>
              <w:marRight w:val="0"/>
              <w:marTop w:val="0"/>
              <w:marBottom w:val="0"/>
              <w:divBdr>
                <w:top w:val="none" w:sz="0" w:space="0" w:color="auto"/>
                <w:left w:val="none" w:sz="0" w:space="0" w:color="auto"/>
                <w:bottom w:val="none" w:sz="0" w:space="0" w:color="auto"/>
                <w:right w:val="none" w:sz="0" w:space="0" w:color="auto"/>
              </w:divBdr>
              <w:divsChild>
                <w:div w:id="1596480423">
                  <w:marLeft w:val="0"/>
                  <w:marRight w:val="0"/>
                  <w:marTop w:val="0"/>
                  <w:marBottom w:val="0"/>
                  <w:divBdr>
                    <w:top w:val="none" w:sz="0" w:space="0" w:color="auto"/>
                    <w:left w:val="none" w:sz="0" w:space="0" w:color="auto"/>
                    <w:bottom w:val="none" w:sz="0" w:space="0" w:color="auto"/>
                    <w:right w:val="none" w:sz="0" w:space="0" w:color="auto"/>
                  </w:divBdr>
                </w:div>
                <w:div w:id="95868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614028">
          <w:marLeft w:val="0"/>
          <w:marRight w:val="0"/>
          <w:marTop w:val="0"/>
          <w:marBottom w:val="0"/>
          <w:divBdr>
            <w:top w:val="none" w:sz="0" w:space="0" w:color="auto"/>
            <w:left w:val="none" w:sz="0" w:space="0" w:color="auto"/>
            <w:bottom w:val="none" w:sz="0" w:space="0" w:color="auto"/>
            <w:right w:val="none" w:sz="0" w:space="0" w:color="auto"/>
          </w:divBdr>
          <w:divsChild>
            <w:div w:id="67383834">
              <w:marLeft w:val="0"/>
              <w:marRight w:val="0"/>
              <w:marTop w:val="0"/>
              <w:marBottom w:val="0"/>
              <w:divBdr>
                <w:top w:val="none" w:sz="0" w:space="0" w:color="auto"/>
                <w:left w:val="none" w:sz="0" w:space="0" w:color="auto"/>
                <w:bottom w:val="none" w:sz="0" w:space="0" w:color="auto"/>
                <w:right w:val="none" w:sz="0" w:space="0" w:color="auto"/>
              </w:divBdr>
              <w:divsChild>
                <w:div w:id="1937591328">
                  <w:marLeft w:val="0"/>
                  <w:marRight w:val="0"/>
                  <w:marTop w:val="0"/>
                  <w:marBottom w:val="0"/>
                  <w:divBdr>
                    <w:top w:val="none" w:sz="0" w:space="0" w:color="auto"/>
                    <w:left w:val="none" w:sz="0" w:space="0" w:color="auto"/>
                    <w:bottom w:val="none" w:sz="0" w:space="0" w:color="auto"/>
                    <w:right w:val="none" w:sz="0" w:space="0" w:color="auto"/>
                  </w:divBdr>
                </w:div>
              </w:divsChild>
            </w:div>
            <w:div w:id="725177135">
              <w:marLeft w:val="0"/>
              <w:marRight w:val="0"/>
              <w:marTop w:val="0"/>
              <w:marBottom w:val="0"/>
              <w:divBdr>
                <w:top w:val="none" w:sz="0" w:space="0" w:color="auto"/>
                <w:left w:val="none" w:sz="0" w:space="0" w:color="auto"/>
                <w:bottom w:val="none" w:sz="0" w:space="0" w:color="auto"/>
                <w:right w:val="none" w:sz="0" w:space="0" w:color="auto"/>
              </w:divBdr>
              <w:divsChild>
                <w:div w:id="658071231">
                  <w:marLeft w:val="0"/>
                  <w:marRight w:val="0"/>
                  <w:marTop w:val="0"/>
                  <w:marBottom w:val="0"/>
                  <w:divBdr>
                    <w:top w:val="none" w:sz="0" w:space="0" w:color="auto"/>
                    <w:left w:val="none" w:sz="0" w:space="0" w:color="auto"/>
                    <w:bottom w:val="none" w:sz="0" w:space="0" w:color="auto"/>
                    <w:right w:val="none" w:sz="0" w:space="0" w:color="auto"/>
                  </w:divBdr>
                </w:div>
                <w:div w:id="153272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763951">
          <w:marLeft w:val="0"/>
          <w:marRight w:val="0"/>
          <w:marTop w:val="0"/>
          <w:marBottom w:val="0"/>
          <w:divBdr>
            <w:top w:val="none" w:sz="0" w:space="0" w:color="auto"/>
            <w:left w:val="none" w:sz="0" w:space="0" w:color="auto"/>
            <w:bottom w:val="none" w:sz="0" w:space="0" w:color="auto"/>
            <w:right w:val="none" w:sz="0" w:space="0" w:color="auto"/>
          </w:divBdr>
          <w:divsChild>
            <w:div w:id="1856379209">
              <w:marLeft w:val="0"/>
              <w:marRight w:val="0"/>
              <w:marTop w:val="0"/>
              <w:marBottom w:val="0"/>
              <w:divBdr>
                <w:top w:val="none" w:sz="0" w:space="0" w:color="auto"/>
                <w:left w:val="none" w:sz="0" w:space="0" w:color="auto"/>
                <w:bottom w:val="none" w:sz="0" w:space="0" w:color="auto"/>
                <w:right w:val="none" w:sz="0" w:space="0" w:color="auto"/>
              </w:divBdr>
              <w:divsChild>
                <w:div w:id="1521436239">
                  <w:marLeft w:val="0"/>
                  <w:marRight w:val="0"/>
                  <w:marTop w:val="0"/>
                  <w:marBottom w:val="0"/>
                  <w:divBdr>
                    <w:top w:val="none" w:sz="0" w:space="0" w:color="auto"/>
                    <w:left w:val="none" w:sz="0" w:space="0" w:color="auto"/>
                    <w:bottom w:val="none" w:sz="0" w:space="0" w:color="auto"/>
                    <w:right w:val="none" w:sz="0" w:space="0" w:color="auto"/>
                  </w:divBdr>
                </w:div>
              </w:divsChild>
            </w:div>
            <w:div w:id="228031585">
              <w:marLeft w:val="0"/>
              <w:marRight w:val="0"/>
              <w:marTop w:val="0"/>
              <w:marBottom w:val="0"/>
              <w:divBdr>
                <w:top w:val="none" w:sz="0" w:space="0" w:color="auto"/>
                <w:left w:val="none" w:sz="0" w:space="0" w:color="auto"/>
                <w:bottom w:val="none" w:sz="0" w:space="0" w:color="auto"/>
                <w:right w:val="none" w:sz="0" w:space="0" w:color="auto"/>
              </w:divBdr>
              <w:divsChild>
                <w:div w:id="2216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829789">
          <w:marLeft w:val="0"/>
          <w:marRight w:val="0"/>
          <w:marTop w:val="0"/>
          <w:marBottom w:val="0"/>
          <w:divBdr>
            <w:top w:val="none" w:sz="0" w:space="0" w:color="auto"/>
            <w:left w:val="none" w:sz="0" w:space="0" w:color="auto"/>
            <w:bottom w:val="none" w:sz="0" w:space="0" w:color="auto"/>
            <w:right w:val="none" w:sz="0" w:space="0" w:color="auto"/>
          </w:divBdr>
          <w:divsChild>
            <w:div w:id="914052026">
              <w:marLeft w:val="0"/>
              <w:marRight w:val="0"/>
              <w:marTop w:val="0"/>
              <w:marBottom w:val="0"/>
              <w:divBdr>
                <w:top w:val="none" w:sz="0" w:space="0" w:color="auto"/>
                <w:left w:val="none" w:sz="0" w:space="0" w:color="auto"/>
                <w:bottom w:val="none" w:sz="0" w:space="0" w:color="auto"/>
                <w:right w:val="none" w:sz="0" w:space="0" w:color="auto"/>
              </w:divBdr>
              <w:divsChild>
                <w:div w:id="948777679">
                  <w:marLeft w:val="0"/>
                  <w:marRight w:val="0"/>
                  <w:marTop w:val="0"/>
                  <w:marBottom w:val="0"/>
                  <w:divBdr>
                    <w:top w:val="none" w:sz="0" w:space="0" w:color="auto"/>
                    <w:left w:val="none" w:sz="0" w:space="0" w:color="auto"/>
                    <w:bottom w:val="none" w:sz="0" w:space="0" w:color="auto"/>
                    <w:right w:val="none" w:sz="0" w:space="0" w:color="auto"/>
                  </w:divBdr>
                </w:div>
              </w:divsChild>
            </w:div>
            <w:div w:id="48575800">
              <w:marLeft w:val="0"/>
              <w:marRight w:val="0"/>
              <w:marTop w:val="0"/>
              <w:marBottom w:val="0"/>
              <w:divBdr>
                <w:top w:val="none" w:sz="0" w:space="0" w:color="auto"/>
                <w:left w:val="none" w:sz="0" w:space="0" w:color="auto"/>
                <w:bottom w:val="none" w:sz="0" w:space="0" w:color="auto"/>
                <w:right w:val="none" w:sz="0" w:space="0" w:color="auto"/>
              </w:divBdr>
              <w:divsChild>
                <w:div w:id="73840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656">
          <w:marLeft w:val="0"/>
          <w:marRight w:val="0"/>
          <w:marTop w:val="0"/>
          <w:marBottom w:val="0"/>
          <w:divBdr>
            <w:top w:val="none" w:sz="0" w:space="0" w:color="auto"/>
            <w:left w:val="none" w:sz="0" w:space="0" w:color="auto"/>
            <w:bottom w:val="none" w:sz="0" w:space="0" w:color="auto"/>
            <w:right w:val="none" w:sz="0" w:space="0" w:color="auto"/>
          </w:divBdr>
          <w:divsChild>
            <w:div w:id="317543250">
              <w:marLeft w:val="0"/>
              <w:marRight w:val="0"/>
              <w:marTop w:val="0"/>
              <w:marBottom w:val="0"/>
              <w:divBdr>
                <w:top w:val="none" w:sz="0" w:space="0" w:color="auto"/>
                <w:left w:val="none" w:sz="0" w:space="0" w:color="auto"/>
                <w:bottom w:val="none" w:sz="0" w:space="0" w:color="auto"/>
                <w:right w:val="none" w:sz="0" w:space="0" w:color="auto"/>
              </w:divBdr>
              <w:divsChild>
                <w:div w:id="1501775153">
                  <w:marLeft w:val="0"/>
                  <w:marRight w:val="0"/>
                  <w:marTop w:val="0"/>
                  <w:marBottom w:val="0"/>
                  <w:divBdr>
                    <w:top w:val="none" w:sz="0" w:space="0" w:color="auto"/>
                    <w:left w:val="none" w:sz="0" w:space="0" w:color="auto"/>
                    <w:bottom w:val="none" w:sz="0" w:space="0" w:color="auto"/>
                    <w:right w:val="none" w:sz="0" w:space="0" w:color="auto"/>
                  </w:divBdr>
                </w:div>
              </w:divsChild>
            </w:div>
            <w:div w:id="1462111854">
              <w:marLeft w:val="0"/>
              <w:marRight w:val="0"/>
              <w:marTop w:val="0"/>
              <w:marBottom w:val="0"/>
              <w:divBdr>
                <w:top w:val="none" w:sz="0" w:space="0" w:color="auto"/>
                <w:left w:val="none" w:sz="0" w:space="0" w:color="auto"/>
                <w:bottom w:val="none" w:sz="0" w:space="0" w:color="auto"/>
                <w:right w:val="none" w:sz="0" w:space="0" w:color="auto"/>
              </w:divBdr>
              <w:divsChild>
                <w:div w:id="423577805">
                  <w:marLeft w:val="0"/>
                  <w:marRight w:val="0"/>
                  <w:marTop w:val="0"/>
                  <w:marBottom w:val="0"/>
                  <w:divBdr>
                    <w:top w:val="none" w:sz="0" w:space="0" w:color="auto"/>
                    <w:left w:val="none" w:sz="0" w:space="0" w:color="auto"/>
                    <w:bottom w:val="none" w:sz="0" w:space="0" w:color="auto"/>
                    <w:right w:val="none" w:sz="0" w:space="0" w:color="auto"/>
                  </w:divBdr>
                </w:div>
                <w:div w:id="5585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693642">
          <w:marLeft w:val="0"/>
          <w:marRight w:val="0"/>
          <w:marTop w:val="0"/>
          <w:marBottom w:val="0"/>
          <w:divBdr>
            <w:top w:val="none" w:sz="0" w:space="0" w:color="auto"/>
            <w:left w:val="none" w:sz="0" w:space="0" w:color="auto"/>
            <w:bottom w:val="none" w:sz="0" w:space="0" w:color="auto"/>
            <w:right w:val="none" w:sz="0" w:space="0" w:color="auto"/>
          </w:divBdr>
          <w:divsChild>
            <w:div w:id="2028023506">
              <w:marLeft w:val="0"/>
              <w:marRight w:val="0"/>
              <w:marTop w:val="0"/>
              <w:marBottom w:val="0"/>
              <w:divBdr>
                <w:top w:val="none" w:sz="0" w:space="0" w:color="auto"/>
                <w:left w:val="none" w:sz="0" w:space="0" w:color="auto"/>
                <w:bottom w:val="none" w:sz="0" w:space="0" w:color="auto"/>
                <w:right w:val="none" w:sz="0" w:space="0" w:color="auto"/>
              </w:divBdr>
              <w:divsChild>
                <w:div w:id="998460695">
                  <w:marLeft w:val="0"/>
                  <w:marRight w:val="0"/>
                  <w:marTop w:val="0"/>
                  <w:marBottom w:val="0"/>
                  <w:divBdr>
                    <w:top w:val="none" w:sz="0" w:space="0" w:color="auto"/>
                    <w:left w:val="none" w:sz="0" w:space="0" w:color="auto"/>
                    <w:bottom w:val="none" w:sz="0" w:space="0" w:color="auto"/>
                    <w:right w:val="none" w:sz="0" w:space="0" w:color="auto"/>
                  </w:divBdr>
                </w:div>
              </w:divsChild>
            </w:div>
            <w:div w:id="1853834921">
              <w:marLeft w:val="0"/>
              <w:marRight w:val="0"/>
              <w:marTop w:val="0"/>
              <w:marBottom w:val="0"/>
              <w:divBdr>
                <w:top w:val="none" w:sz="0" w:space="0" w:color="auto"/>
                <w:left w:val="none" w:sz="0" w:space="0" w:color="auto"/>
                <w:bottom w:val="none" w:sz="0" w:space="0" w:color="auto"/>
                <w:right w:val="none" w:sz="0" w:space="0" w:color="auto"/>
              </w:divBdr>
              <w:divsChild>
                <w:div w:id="94013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70848">
          <w:marLeft w:val="0"/>
          <w:marRight w:val="0"/>
          <w:marTop w:val="0"/>
          <w:marBottom w:val="0"/>
          <w:divBdr>
            <w:top w:val="none" w:sz="0" w:space="0" w:color="auto"/>
            <w:left w:val="none" w:sz="0" w:space="0" w:color="auto"/>
            <w:bottom w:val="none" w:sz="0" w:space="0" w:color="auto"/>
            <w:right w:val="none" w:sz="0" w:space="0" w:color="auto"/>
          </w:divBdr>
          <w:divsChild>
            <w:div w:id="865682757">
              <w:marLeft w:val="0"/>
              <w:marRight w:val="0"/>
              <w:marTop w:val="0"/>
              <w:marBottom w:val="0"/>
              <w:divBdr>
                <w:top w:val="none" w:sz="0" w:space="0" w:color="auto"/>
                <w:left w:val="none" w:sz="0" w:space="0" w:color="auto"/>
                <w:bottom w:val="none" w:sz="0" w:space="0" w:color="auto"/>
                <w:right w:val="none" w:sz="0" w:space="0" w:color="auto"/>
              </w:divBdr>
              <w:divsChild>
                <w:div w:id="1087311878">
                  <w:marLeft w:val="0"/>
                  <w:marRight w:val="0"/>
                  <w:marTop w:val="0"/>
                  <w:marBottom w:val="0"/>
                  <w:divBdr>
                    <w:top w:val="none" w:sz="0" w:space="0" w:color="auto"/>
                    <w:left w:val="none" w:sz="0" w:space="0" w:color="auto"/>
                    <w:bottom w:val="none" w:sz="0" w:space="0" w:color="auto"/>
                    <w:right w:val="none" w:sz="0" w:space="0" w:color="auto"/>
                  </w:divBdr>
                </w:div>
              </w:divsChild>
            </w:div>
            <w:div w:id="1031884540">
              <w:marLeft w:val="0"/>
              <w:marRight w:val="0"/>
              <w:marTop w:val="0"/>
              <w:marBottom w:val="0"/>
              <w:divBdr>
                <w:top w:val="none" w:sz="0" w:space="0" w:color="auto"/>
                <w:left w:val="none" w:sz="0" w:space="0" w:color="auto"/>
                <w:bottom w:val="none" w:sz="0" w:space="0" w:color="auto"/>
                <w:right w:val="none" w:sz="0" w:space="0" w:color="auto"/>
              </w:divBdr>
              <w:divsChild>
                <w:div w:id="116728698">
                  <w:marLeft w:val="0"/>
                  <w:marRight w:val="0"/>
                  <w:marTop w:val="0"/>
                  <w:marBottom w:val="0"/>
                  <w:divBdr>
                    <w:top w:val="none" w:sz="0" w:space="0" w:color="auto"/>
                    <w:left w:val="none" w:sz="0" w:space="0" w:color="auto"/>
                    <w:bottom w:val="none" w:sz="0" w:space="0" w:color="auto"/>
                    <w:right w:val="none" w:sz="0" w:space="0" w:color="auto"/>
                  </w:divBdr>
                </w:div>
                <w:div w:id="19516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649474">
          <w:marLeft w:val="0"/>
          <w:marRight w:val="0"/>
          <w:marTop w:val="0"/>
          <w:marBottom w:val="0"/>
          <w:divBdr>
            <w:top w:val="none" w:sz="0" w:space="0" w:color="auto"/>
            <w:left w:val="none" w:sz="0" w:space="0" w:color="auto"/>
            <w:bottom w:val="none" w:sz="0" w:space="0" w:color="auto"/>
            <w:right w:val="none" w:sz="0" w:space="0" w:color="auto"/>
          </w:divBdr>
          <w:divsChild>
            <w:div w:id="711419602">
              <w:marLeft w:val="0"/>
              <w:marRight w:val="0"/>
              <w:marTop w:val="0"/>
              <w:marBottom w:val="0"/>
              <w:divBdr>
                <w:top w:val="none" w:sz="0" w:space="0" w:color="auto"/>
                <w:left w:val="none" w:sz="0" w:space="0" w:color="auto"/>
                <w:bottom w:val="none" w:sz="0" w:space="0" w:color="auto"/>
                <w:right w:val="none" w:sz="0" w:space="0" w:color="auto"/>
              </w:divBdr>
              <w:divsChild>
                <w:div w:id="971055087">
                  <w:marLeft w:val="0"/>
                  <w:marRight w:val="0"/>
                  <w:marTop w:val="0"/>
                  <w:marBottom w:val="0"/>
                  <w:divBdr>
                    <w:top w:val="none" w:sz="0" w:space="0" w:color="auto"/>
                    <w:left w:val="none" w:sz="0" w:space="0" w:color="auto"/>
                    <w:bottom w:val="none" w:sz="0" w:space="0" w:color="auto"/>
                    <w:right w:val="none" w:sz="0" w:space="0" w:color="auto"/>
                  </w:divBdr>
                </w:div>
              </w:divsChild>
            </w:div>
            <w:div w:id="2082866569">
              <w:marLeft w:val="0"/>
              <w:marRight w:val="0"/>
              <w:marTop w:val="0"/>
              <w:marBottom w:val="0"/>
              <w:divBdr>
                <w:top w:val="none" w:sz="0" w:space="0" w:color="auto"/>
                <w:left w:val="none" w:sz="0" w:space="0" w:color="auto"/>
                <w:bottom w:val="none" w:sz="0" w:space="0" w:color="auto"/>
                <w:right w:val="none" w:sz="0" w:space="0" w:color="auto"/>
              </w:divBdr>
              <w:divsChild>
                <w:div w:id="924148923">
                  <w:marLeft w:val="0"/>
                  <w:marRight w:val="0"/>
                  <w:marTop w:val="0"/>
                  <w:marBottom w:val="0"/>
                  <w:divBdr>
                    <w:top w:val="none" w:sz="0" w:space="0" w:color="auto"/>
                    <w:left w:val="none" w:sz="0" w:space="0" w:color="auto"/>
                    <w:bottom w:val="none" w:sz="0" w:space="0" w:color="auto"/>
                    <w:right w:val="none" w:sz="0" w:space="0" w:color="auto"/>
                  </w:divBdr>
                </w:div>
                <w:div w:id="13758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188004">
      <w:bodyDiv w:val="1"/>
      <w:marLeft w:val="0"/>
      <w:marRight w:val="0"/>
      <w:marTop w:val="0"/>
      <w:marBottom w:val="0"/>
      <w:divBdr>
        <w:top w:val="none" w:sz="0" w:space="0" w:color="auto"/>
        <w:left w:val="none" w:sz="0" w:space="0" w:color="auto"/>
        <w:bottom w:val="none" w:sz="0" w:space="0" w:color="auto"/>
        <w:right w:val="none" w:sz="0" w:space="0" w:color="auto"/>
      </w:divBdr>
    </w:div>
    <w:div w:id="2077048729">
      <w:bodyDiv w:val="1"/>
      <w:marLeft w:val="0"/>
      <w:marRight w:val="0"/>
      <w:marTop w:val="0"/>
      <w:marBottom w:val="0"/>
      <w:divBdr>
        <w:top w:val="none" w:sz="0" w:space="0" w:color="auto"/>
        <w:left w:val="none" w:sz="0" w:space="0" w:color="auto"/>
        <w:bottom w:val="none" w:sz="0" w:space="0" w:color="auto"/>
        <w:right w:val="none" w:sz="0" w:space="0" w:color="auto"/>
      </w:divBdr>
    </w:div>
    <w:div w:id="2115979657">
      <w:bodyDiv w:val="1"/>
      <w:marLeft w:val="0"/>
      <w:marRight w:val="0"/>
      <w:marTop w:val="0"/>
      <w:marBottom w:val="0"/>
      <w:divBdr>
        <w:top w:val="none" w:sz="0" w:space="0" w:color="auto"/>
        <w:left w:val="none" w:sz="0" w:space="0" w:color="auto"/>
        <w:bottom w:val="none" w:sz="0" w:space="0" w:color="auto"/>
        <w:right w:val="none" w:sz="0" w:space="0" w:color="auto"/>
      </w:divBdr>
      <w:divsChild>
        <w:div w:id="424425209">
          <w:marLeft w:val="0"/>
          <w:marRight w:val="0"/>
          <w:marTop w:val="0"/>
          <w:marBottom w:val="0"/>
          <w:divBdr>
            <w:top w:val="none" w:sz="0" w:space="0" w:color="auto"/>
            <w:left w:val="none" w:sz="0" w:space="0" w:color="auto"/>
            <w:bottom w:val="none" w:sz="0" w:space="0" w:color="auto"/>
            <w:right w:val="none" w:sz="0" w:space="0" w:color="auto"/>
          </w:divBdr>
          <w:divsChild>
            <w:div w:id="621613945">
              <w:marLeft w:val="0"/>
              <w:marRight w:val="0"/>
              <w:marTop w:val="0"/>
              <w:marBottom w:val="0"/>
              <w:divBdr>
                <w:top w:val="none" w:sz="0" w:space="0" w:color="auto"/>
                <w:left w:val="none" w:sz="0" w:space="0" w:color="auto"/>
                <w:bottom w:val="none" w:sz="0" w:space="0" w:color="auto"/>
                <w:right w:val="none" w:sz="0" w:space="0" w:color="auto"/>
              </w:divBdr>
              <w:divsChild>
                <w:div w:id="112049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72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54150/thawalib.v5i1.414?utm_source=chatgpt.com" TargetMode="External"/><Relationship Id="rId18" Type="http://schemas.openxmlformats.org/officeDocument/2006/relationships/hyperlink" Target="https://doi.org/10.19109/r28v8346?utm_source=chatgpt.com" TargetMode="External"/><Relationship Id="rId26" Type="http://schemas.openxmlformats.org/officeDocument/2006/relationships/hyperlink" Target="https://doi.org/10.26555/almisbah.v10i2.6734?utm_source=chatgpt.com" TargetMode="External"/><Relationship Id="rId39" Type="http://schemas.openxmlformats.org/officeDocument/2006/relationships/hyperlink" Target="https://doi.org/10.22515/attarbawi.v8i2.7498?utm_source=chatgpt.com" TargetMode="External"/><Relationship Id="rId21" Type="http://schemas.openxmlformats.org/officeDocument/2006/relationships/hyperlink" Target="https://doi.org/10.33084/jhm.v12i1.9835?utm_source=chatgpt.com" TargetMode="External"/><Relationship Id="rId34" Type="http://schemas.openxmlformats.org/officeDocument/2006/relationships/hyperlink" Target="https://doi.org/10.69900/ag.v4i1.189?utm_source=chatgpt.com" TargetMode="External"/><Relationship Id="rId42" Type="http://schemas.openxmlformats.org/officeDocument/2006/relationships/hyperlink" Target="https://doi.org/10.25217/jrie.v7i1.5929?utm_source=chatgpt.com"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56146/edusifa.v6i1.1?utm_source=chatgpt.com" TargetMode="External"/><Relationship Id="rId29" Type="http://schemas.openxmlformats.org/officeDocument/2006/relationships/hyperlink" Target="https://doi.org/10.35877/454RI.eduline3597?utm_source=chatgpt.com" TargetMode="External"/><Relationship Id="rId11" Type="http://schemas.openxmlformats.org/officeDocument/2006/relationships/hyperlink" Target="mailto:ssaperilganteng@gmail.com2" TargetMode="External"/><Relationship Id="rId24" Type="http://schemas.openxmlformats.org/officeDocument/2006/relationships/hyperlink" Target="https://doi.org/10.18592/jtipai.v14i1.11707?utm_source=chatgpt.com" TargetMode="External"/><Relationship Id="rId32" Type="http://schemas.openxmlformats.org/officeDocument/2006/relationships/hyperlink" Target="https://doi.org/10.31603/tarbiyatuna.v12i2.5991?utm_source=chatgpt.com" TargetMode="External"/><Relationship Id="rId37" Type="http://schemas.openxmlformats.org/officeDocument/2006/relationships/hyperlink" Target="https://doi.org/10.21070/ijis.v12i4.1741?utm_source=chatgpt.com" TargetMode="External"/><Relationship Id="rId40" Type="http://schemas.openxmlformats.org/officeDocument/2006/relationships/hyperlink" Target="https://doi.org/10.28944/maharot.v8i2.1809?utm_source=chatgpt.com" TargetMode="External"/><Relationship Id="rId45" Type="http://schemas.openxmlformats.org/officeDocument/2006/relationships/hyperlink" Target="https://doi.org/10.47435/jpdk.v9i1.2612?utm_source=chatgpt.com" TargetMode="External"/><Relationship Id="rId5" Type="http://schemas.openxmlformats.org/officeDocument/2006/relationships/webSettings" Target="webSettings.xml"/><Relationship Id="rId15" Type="http://schemas.openxmlformats.org/officeDocument/2006/relationships/hyperlink" Target="https://doi.org/10.33650/edureligia.v9i3.11905?utm_source=chatgpt.com" TargetMode="External"/><Relationship Id="rId23" Type="http://schemas.openxmlformats.org/officeDocument/2006/relationships/hyperlink" Target="https://doi.org/10.15575/ath.v8i2.24900?utm_source=chatgpt.com" TargetMode="External"/><Relationship Id="rId28" Type="http://schemas.openxmlformats.org/officeDocument/2006/relationships/hyperlink" Target="https://doi.org/10.21093/sy.v13i2.11220?utm_source=chatgpt.com" TargetMode="External"/><Relationship Id="rId36" Type="http://schemas.openxmlformats.org/officeDocument/2006/relationships/hyperlink" Target="https://doi.org/10.54150/thawalib.v6i2.595?utm_source=chatgpt.com" TargetMode="External"/><Relationship Id="rId49" Type="http://schemas.openxmlformats.org/officeDocument/2006/relationships/footer" Target="footer1.xml"/><Relationship Id="rId10" Type="http://schemas.openxmlformats.org/officeDocument/2006/relationships/hyperlink" Target="mailto:faridatulhidayati660@gmail.com1" TargetMode="External"/><Relationship Id="rId19" Type="http://schemas.openxmlformats.org/officeDocument/2006/relationships/hyperlink" Target="https://doi.org/10.61994/taqrib.v4i2.2253?utm_source=chatgpt.com" TargetMode="External"/><Relationship Id="rId31" Type="http://schemas.openxmlformats.org/officeDocument/2006/relationships/hyperlink" Target="https://doi.org/10.35719/jier.v6i4.525?utm_source=chatgpt.com" TargetMode="External"/><Relationship Id="rId44" Type="http://schemas.openxmlformats.org/officeDocument/2006/relationships/hyperlink" Target="https://doi.org/10.25217/jrie.v4i1.1754?utm_source=chatgpt.com" TargetMode="External"/><Relationship Id="rId52"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doi.org/10.15575/jaqfi.v11i2.52584?utm_source=chatgpt.com" TargetMode="External"/><Relationship Id="rId22" Type="http://schemas.openxmlformats.org/officeDocument/2006/relationships/hyperlink" Target="https://doi.org/10.32729/edukasi.v22i1.1743?utm_source=chatgpt.com" TargetMode="External"/><Relationship Id="rId27" Type="http://schemas.openxmlformats.org/officeDocument/2006/relationships/hyperlink" Target="https://doi.org/10.32923/taw.v18i2.4014?utm_source=chatgpt.com" TargetMode="External"/><Relationship Id="rId30" Type="http://schemas.openxmlformats.org/officeDocument/2006/relationships/hyperlink" Target="https://doi.org/10.29210/1202322884?utm_source=chatgpt.com" TargetMode="External"/><Relationship Id="rId35" Type="http://schemas.openxmlformats.org/officeDocument/2006/relationships/hyperlink" Target="https://doi.org/10.15408/tjems.v12i2.51276?utm_source=chatgpt.com" TargetMode="External"/><Relationship Id="rId43" Type="http://schemas.openxmlformats.org/officeDocument/2006/relationships/hyperlink" Target="https://doi.org/10.58764/j.im.2023.4.44?utm_source=chatgpt.com" TargetMode="External"/><Relationship Id="rId48"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doi.org/10.37567/sambas.v7i2.3642?utm_source=chatgpt.com" TargetMode="External"/><Relationship Id="rId25" Type="http://schemas.openxmlformats.org/officeDocument/2006/relationships/hyperlink" Target="https://doi.org/10.59784/jtlm.v2i1.24?utm_source=chatgpt.com" TargetMode="External"/><Relationship Id="rId33" Type="http://schemas.openxmlformats.org/officeDocument/2006/relationships/hyperlink" Target="https://doi.org/10.21070/acopen.4.2021.2717?utm_source=chatgpt.com" TargetMode="External"/><Relationship Id="rId38" Type="http://schemas.openxmlformats.org/officeDocument/2006/relationships/hyperlink" Target="https://doi.org/10.25299/althariqah.2024.vol9(2).18956?utm_source=chatgpt.com" TargetMode="External"/><Relationship Id="rId46" Type="http://schemas.openxmlformats.org/officeDocument/2006/relationships/hyperlink" Target="https://doi.org/10.1163/24685542-20250006?utm_source=chatgpt.com" TargetMode="External"/><Relationship Id="rId20" Type="http://schemas.openxmlformats.org/officeDocument/2006/relationships/hyperlink" Target="https://doi.org/10.26594/dirasat.v10i2.5343?utm_source=chatgpt.com" TargetMode="External"/><Relationship Id="rId41" Type="http://schemas.openxmlformats.org/officeDocument/2006/relationships/hyperlink" Target="https://doi.org/10.19105/tjpi.v18i1.7073?utm_source=chatgpt.com"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1E94AA-22EF-4B6A-9D4B-B2CDE36A8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1246</TotalTime>
  <Pages>31</Pages>
  <Words>17568</Words>
  <Characters>100140</Characters>
  <Application>Microsoft Office Word</Application>
  <DocSecurity>0</DocSecurity>
  <Lines>834</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user</cp:lastModifiedBy>
  <cp:revision>158</cp:revision>
  <cp:lastPrinted>2026-01-09T23:59:00Z</cp:lastPrinted>
  <dcterms:created xsi:type="dcterms:W3CDTF">2025-01-30T17:19:00Z</dcterms:created>
  <dcterms:modified xsi:type="dcterms:W3CDTF">2026-10-30T11:58:00Z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zotero-version="6.0.27"&gt;&lt;session id="08eGKJ0R"/&gt;&lt;style id="http://www.zotero.org/styles/apa" locale="en-GB" hasBibliography="1" bibliographyStyleHasBeenSet="1"/&gt;&lt;prefs&gt;&lt;pref name="fieldType" value="Field"/&gt;&lt;/prefs&gt;&lt;/data&gt;</vt:lpwstr>
  </property>
  <property fmtid="{D5CDD505-2E9C-101B-9397-08002B2CF9AE}" pid="3" name="Mendeley Document_1">
    <vt:lpwstr>True</vt:lpwstr>
  </property>
  <property fmtid="{D5CDD505-2E9C-101B-9397-08002B2CF9AE}" pid="4" name="Mendeley Unique User Id_1">
    <vt:lpwstr>dea5121d-ab2e-3f30-b04d-fa9c942fadff</vt:lpwstr>
  </property>
  <property fmtid="{D5CDD505-2E9C-101B-9397-08002B2CF9AE}" pid="5" name="Mendeley Citation Style_1">
    <vt:lpwstr>http://www.zotero.org/styles/apa</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http://www.zotero.org/styles/apa-6th-edition</vt:lpwstr>
  </property>
  <property fmtid="{D5CDD505-2E9C-101B-9397-08002B2CF9AE}" pid="9" name="Mendeley Recent Style Name 1_1">
    <vt:lpwstr>American Psychological Association 6th edition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http://www.zotero.org/styles/berghahn-books-author-date-en-gb</vt:lpwstr>
  </property>
  <property fmtid="{D5CDD505-2E9C-101B-9397-08002B2CF9AE}" pid="13" name="Mendeley Recent Style Name 3_1">
    <vt:lpwstr>Berghahn Books (author-date, English - UK)</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http://www.zotero.org/styles/chicago-fullnote-bibliography</vt:lpwstr>
  </property>
  <property fmtid="{D5CDD505-2E9C-101B-9397-08002B2CF9AE}" pid="17" name="Mendeley Recent Style Name 5_1">
    <vt:lpwstr>Chicago Manual of Style 17th edition (full note)</vt:lpwstr>
  </property>
  <property fmtid="{D5CDD505-2E9C-101B-9397-08002B2CF9AE}" pid="18" name="Mendeley Recent Style Id 6_1">
    <vt:lpwstr>http://www.zotero.org/styles/harvard1</vt:lpwstr>
  </property>
  <property fmtid="{D5CDD505-2E9C-101B-9397-08002B2CF9AE}" pid="19" name="Mendeley Recent Style Name 6_1">
    <vt:lpwstr>Harvard reference format 1 (deprecated)</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http://www.zotero.org/styles/universitas-negeri-semarang-fakultas-matematika-dan-ilmu-pengetahuan-alam</vt:lpwstr>
  </property>
  <property fmtid="{D5CDD505-2E9C-101B-9397-08002B2CF9AE}" pid="23" name="Mendeley Recent Style Name 8_1">
    <vt:lpwstr>Universitas Negeri Semarang - Fakultas Matematika dan Ilmu Pengetahuan Alam (Bahasa Indonesia)</vt:lpwstr>
  </property>
  <property fmtid="{D5CDD505-2E9C-101B-9397-08002B2CF9AE}" pid="24" name="Mendeley Recent Style Id 9_1">
    <vt:lpwstr>http://www.zotero.org/styles/universitas-negeri-yogyakarta-program-pascasarjana</vt:lpwstr>
  </property>
  <property fmtid="{D5CDD505-2E9C-101B-9397-08002B2CF9AE}" pid="25" name="Mendeley Recent Style Name 9_1">
    <vt:lpwstr>Universitas Negeri Yogyakarta - Program Pascasarjana (Bahasa Indonesia)</vt:lpwstr>
  </property>
</Properties>
</file>